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1AF" w:rsidRDefault="003F21AF" w:rsidP="003F21AF">
      <w:pPr>
        <w:jc w:val="left"/>
        <w:rPr>
          <w:rFonts w:ascii="Calibri" w:hAnsi="Calibri" w:cs="Calibri"/>
          <w:szCs w:val="21"/>
        </w:rPr>
      </w:pPr>
      <w:bookmarkStart w:id="0" w:name="OLE_LINK7"/>
      <w:bookmarkStart w:id="1" w:name="OLE_LINK6"/>
      <w:bookmarkStart w:id="2" w:name="_GoBack"/>
      <w:bookmarkEnd w:id="2"/>
      <w:proofErr w:type="gramStart"/>
      <w:r>
        <w:rPr>
          <w:rFonts w:ascii="Calibri" w:hAnsi="Calibri" w:cs="Calibri"/>
          <w:b/>
          <w:szCs w:val="21"/>
        </w:rPr>
        <w:t>Table 1.</w:t>
      </w:r>
      <w:proofErr w:type="gramEnd"/>
      <w:r>
        <w:rPr>
          <w:rFonts w:ascii="Calibri" w:hAnsi="Calibri" w:cs="Calibri"/>
          <w:b/>
          <w:szCs w:val="21"/>
        </w:rPr>
        <w:t xml:space="preserve"> </w:t>
      </w:r>
      <w:proofErr w:type="gramStart"/>
      <w:r>
        <w:rPr>
          <w:rFonts w:ascii="Calibri" w:hAnsi="Calibri" w:cs="Calibri"/>
          <w:szCs w:val="21"/>
        </w:rPr>
        <w:t>Baseline clinical characteristics</w:t>
      </w:r>
      <w:bookmarkStart w:id="3" w:name="OLE_LINK21"/>
      <w:bookmarkStart w:id="4" w:name="OLE_LINK20"/>
      <w:r>
        <w:rPr>
          <w:rFonts w:ascii="Calibri" w:hAnsi="Calibri" w:cs="Calibri"/>
          <w:szCs w:val="21"/>
        </w:rPr>
        <w:t>.</w:t>
      </w:r>
      <w:bookmarkEnd w:id="3"/>
      <w:bookmarkEnd w:id="4"/>
      <w:proofErr w:type="gramEnd"/>
    </w:p>
    <w:tbl>
      <w:tblPr>
        <w:tblW w:w="8180" w:type="dxa"/>
        <w:tblInd w:w="93" w:type="dxa"/>
        <w:tblLook w:val="04A0" w:firstRow="1" w:lastRow="0" w:firstColumn="1" w:lastColumn="0" w:noHBand="0" w:noVBand="1"/>
      </w:tblPr>
      <w:tblGrid>
        <w:gridCol w:w="2260"/>
        <w:gridCol w:w="1100"/>
        <w:gridCol w:w="1100"/>
        <w:gridCol w:w="760"/>
        <w:gridCol w:w="1053"/>
        <w:gridCol w:w="1147"/>
        <w:gridCol w:w="760"/>
      </w:tblGrid>
      <w:tr w:rsidR="003F21AF" w:rsidTr="003F21AF">
        <w:trPr>
          <w:trHeight w:val="294"/>
        </w:trPr>
        <w:tc>
          <w:tcPr>
            <w:tcW w:w="22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Before PS match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After PS match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3F21AF" w:rsidTr="003F21AF">
        <w:trPr>
          <w:trHeight w:val="287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Statins(-)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Statins(+)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Statins(-)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Statins(+)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3F21AF" w:rsidTr="003F21AF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(n:744)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(n:457)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(n:370)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(n:370)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Age, years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65.2±9.9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64.9±10.1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65.6±9.5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65.0±9.8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422(56.7)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240(52.5)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200(54.1)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189(51.1)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BMI, kg/m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26.6±3.5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26.7±3.4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26.5±3.4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26.7±3.4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SBP, mmHg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135.8±19.7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134.2±19.1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134.9±18.2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133.8±17.8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DBP, mmHg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76.2±11.6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75.9±11.3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75.9±10.8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75.3±10.9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Heart rate,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bpm</w:t>
            </w:r>
            <w:proofErr w:type="spellEnd"/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74.4±12.0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73.1±11.5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71.6±12.1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71.3±11.3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b/>
                <w:color w:val="000000"/>
                <w:kern w:val="0"/>
                <w:sz w:val="16"/>
                <w:szCs w:val="16"/>
              </w:rPr>
              <w:t>Medical history</w:t>
            </w:r>
          </w:p>
        </w:tc>
        <w:tc>
          <w:tcPr>
            <w:tcW w:w="1100" w:type="dxa"/>
            <w:vAlign w:val="center"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0" w:type="dxa"/>
            <w:noWrap/>
            <w:vAlign w:val="center"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0" w:type="dxa"/>
            <w:noWrap/>
            <w:vAlign w:val="center"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3" w:type="dxa"/>
            <w:noWrap/>
            <w:vAlign w:val="center"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47" w:type="dxa"/>
            <w:noWrap/>
            <w:vAlign w:val="center"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0" w:type="dxa"/>
            <w:noWrap/>
            <w:vAlign w:val="center"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Current/ex-Smoker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345(46.4)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190(41.6)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156(42.2)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154(41.6)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CKD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28(3.8) 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15(3.3)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12(3.2)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13(3.5)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Stroke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141(19.0)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102 (22.3)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66(17.8)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81 (21.9)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8180" w:type="dxa"/>
            <w:gridSpan w:val="7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b/>
                <w:color w:val="000000"/>
                <w:kern w:val="0"/>
                <w:sz w:val="16"/>
                <w:szCs w:val="16"/>
              </w:rPr>
              <w:t>Medication used before admission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Antiplatelet agent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201(27.0)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227(49.7)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157(42.4)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158(42.7)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Beta-blocker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180(24.2)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176(38.5)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118(31.9)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122(33.0)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CCB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375(54.0)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242(53.0)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196(53.0)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186(50.3)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Diuretics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33(4.4)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18(3.9)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19(5.1)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12(3.2)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8180" w:type="dxa"/>
            <w:gridSpan w:val="7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b/>
                <w:color w:val="000000"/>
                <w:kern w:val="0"/>
                <w:sz w:val="16"/>
                <w:szCs w:val="16"/>
              </w:rPr>
              <w:t>In-hospital treatment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PCI/CABG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512(68.8)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306 (67.0)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233(63.0)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252(68.1)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Antiplatelet agent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710(95.4)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442(96.7)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352(95.1)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359(97.0)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ACEI/ARB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629(84.5)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379(82.9)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322(87.0)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313(84.6)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Beta-blocker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537(72.2)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312(68.3)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274(74.1)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250(67.6)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CCB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349(46.9)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225(49.2)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178(48.1)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178(48.1)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Diuretics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92(12.4)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68(14.9)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36(9.7)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40(10.8)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noWrap/>
            <w:vAlign w:val="center"/>
            <w:hideMark/>
          </w:tcPr>
          <w:p w:rsidR="003F21AF" w:rsidRDefault="003F21AF">
            <w:pPr>
              <w:widowControl/>
              <w:ind w:firstLineChars="50" w:firstLine="8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</w:t>
            </w:r>
          </w:p>
        </w:tc>
        <w:tc>
          <w:tcPr>
            <w:tcW w:w="1100" w:type="dxa"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648(87.1)</w:t>
            </w:r>
          </w:p>
        </w:tc>
        <w:tc>
          <w:tcPr>
            <w:tcW w:w="110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427(93.4)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&lt;0.05 </w:t>
            </w:r>
          </w:p>
        </w:tc>
        <w:tc>
          <w:tcPr>
            <w:tcW w:w="1053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316(85.4)</w:t>
            </w:r>
          </w:p>
        </w:tc>
        <w:tc>
          <w:tcPr>
            <w:tcW w:w="1147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349(94.3)</w:t>
            </w:r>
          </w:p>
        </w:tc>
        <w:tc>
          <w:tcPr>
            <w:tcW w:w="760" w:type="dxa"/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3F21AF" w:rsidTr="003F21AF">
        <w:trPr>
          <w:trHeight w:val="320"/>
        </w:trPr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b/>
                <w:color w:val="000000"/>
                <w:kern w:val="0"/>
                <w:sz w:val="16"/>
                <w:szCs w:val="16"/>
              </w:rPr>
              <w:t>Hospital stay, day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6.0(4.0,8.0)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5.5(4.0,7.0)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&lt;0.05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6(4,8)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6(4,7)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3F21AF" w:rsidRDefault="003F21AF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&lt;0.05 </w:t>
            </w:r>
          </w:p>
        </w:tc>
      </w:tr>
    </w:tbl>
    <w:p w:rsidR="003F21AF" w:rsidRDefault="003F21AF" w:rsidP="003F21AF">
      <w:pPr>
        <w:spacing w:line="276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Data are presented as </w:t>
      </w:r>
      <w:proofErr w:type="spellStart"/>
      <w:r>
        <w:rPr>
          <w:rFonts w:ascii="Calibri" w:hAnsi="Calibri" w:cs="Calibri"/>
          <w:sz w:val="18"/>
          <w:szCs w:val="18"/>
        </w:rPr>
        <w:t>mean±</w:t>
      </w:r>
      <w:proofErr w:type="gramStart"/>
      <w:r>
        <w:rPr>
          <w:rFonts w:ascii="Calibri" w:hAnsi="Calibri" w:cs="Calibri"/>
          <w:sz w:val="18"/>
          <w:szCs w:val="18"/>
        </w:rPr>
        <w:t>SD</w:t>
      </w:r>
      <w:proofErr w:type="spellEnd"/>
      <w:r>
        <w:rPr>
          <w:rFonts w:ascii="Calibri" w:hAnsi="Calibri" w:cs="Calibri"/>
          <w:sz w:val="18"/>
          <w:szCs w:val="18"/>
        </w:rPr>
        <w:t xml:space="preserve"> ,</w:t>
      </w:r>
      <w:proofErr w:type="gramEnd"/>
      <w:r>
        <w:rPr>
          <w:rFonts w:ascii="Calibri" w:hAnsi="Calibri" w:cs="Calibri"/>
          <w:sz w:val="18"/>
          <w:szCs w:val="18"/>
        </w:rPr>
        <w:t xml:space="preserve"> IQR or n (%). </w:t>
      </w:r>
    </w:p>
    <w:p w:rsidR="003F21AF" w:rsidRDefault="003F21AF" w:rsidP="003F21AF">
      <w:pPr>
        <w:spacing w:line="276" w:lineRule="auto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BMI: Body mass index; SBP: Systolic blood pressure; DBP: Diastolic blood pressure; CKD: Chronic kidney disease; CCB: Calcium channel blocker; PCI: Percutaneous coronary intervention; CABG: Coronary artery bypass graft; ACEI/ARB: Angiotensin-converting enzyme inhibitor/Angiotensin receptor blocker</w:t>
      </w:r>
      <w:bookmarkEnd w:id="0"/>
      <w:bookmarkEnd w:id="1"/>
      <w:r w:rsidR="00880AEA">
        <w:rPr>
          <w:rFonts w:ascii="Calibri" w:hAnsi="Calibri" w:cs="Calibri" w:hint="eastAsia"/>
          <w:sz w:val="18"/>
          <w:szCs w:val="18"/>
        </w:rPr>
        <w:t>; NS: Non-</w:t>
      </w:r>
      <w:r w:rsidR="003703C7" w:rsidRPr="003703C7">
        <w:rPr>
          <w:rFonts w:ascii="Calibri" w:hAnsi="Calibri" w:cs="Calibri"/>
          <w:sz w:val="18"/>
          <w:szCs w:val="18"/>
        </w:rPr>
        <w:t xml:space="preserve"> significant</w:t>
      </w:r>
      <w:r w:rsidR="003703C7">
        <w:rPr>
          <w:rFonts w:ascii="Calibri" w:hAnsi="Calibri" w:cs="Calibri" w:hint="eastAsia"/>
          <w:sz w:val="18"/>
          <w:szCs w:val="18"/>
        </w:rPr>
        <w:t>.</w:t>
      </w:r>
    </w:p>
    <w:p w:rsidR="003F21AF" w:rsidRDefault="003F21AF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E10C55" w:rsidRDefault="00E10C55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E10C55" w:rsidRDefault="00E10C55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E10C55" w:rsidRDefault="00E10C55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E10C55" w:rsidRDefault="00E10C55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E10C55" w:rsidRDefault="00E10C55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E10C55" w:rsidRDefault="00E10C55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E10C55" w:rsidRDefault="00E10C55" w:rsidP="00E10C55">
      <w:pPr>
        <w:jc w:val="left"/>
        <w:rPr>
          <w:rFonts w:ascii="Calibri" w:hAnsi="Calibri" w:cs="Calibri"/>
          <w:szCs w:val="21"/>
        </w:rPr>
      </w:pPr>
      <w:proofErr w:type="gramStart"/>
      <w:r>
        <w:rPr>
          <w:rFonts w:ascii="Calibri" w:hAnsi="Calibri" w:cs="Calibri"/>
          <w:b/>
          <w:szCs w:val="21"/>
        </w:rPr>
        <w:lastRenderedPageBreak/>
        <w:t>Table 2.</w:t>
      </w:r>
      <w:proofErr w:type="gramEnd"/>
      <w:r>
        <w:rPr>
          <w:rFonts w:ascii="Calibri" w:hAnsi="Calibri" w:cs="Calibri"/>
          <w:b/>
          <w:szCs w:val="21"/>
        </w:rPr>
        <w:t xml:space="preserve"> </w:t>
      </w:r>
      <w:proofErr w:type="gramStart"/>
      <w:r>
        <w:rPr>
          <w:rFonts w:ascii="Calibri" w:hAnsi="Calibri" w:cs="Calibri"/>
          <w:szCs w:val="21"/>
        </w:rPr>
        <w:t>Laboratory test results and echocardiographic and angiographic characteristics.</w:t>
      </w:r>
      <w:proofErr w:type="gramEnd"/>
    </w:p>
    <w:tbl>
      <w:tblPr>
        <w:tblW w:w="8520" w:type="dxa"/>
        <w:tblInd w:w="93" w:type="dxa"/>
        <w:tblLook w:val="04A0" w:firstRow="1" w:lastRow="0" w:firstColumn="1" w:lastColumn="0" w:noHBand="0" w:noVBand="1"/>
      </w:tblPr>
      <w:tblGrid>
        <w:gridCol w:w="1655"/>
        <w:gridCol w:w="61"/>
        <w:gridCol w:w="159"/>
        <w:gridCol w:w="1225"/>
        <w:gridCol w:w="1250"/>
        <w:gridCol w:w="99"/>
        <w:gridCol w:w="692"/>
        <w:gridCol w:w="216"/>
        <w:gridCol w:w="1185"/>
        <w:gridCol w:w="1245"/>
        <w:gridCol w:w="662"/>
        <w:gridCol w:w="91"/>
      </w:tblGrid>
      <w:tr w:rsidR="00E10C55" w:rsidTr="00E10C55">
        <w:trPr>
          <w:gridAfter w:val="1"/>
          <w:wAfter w:w="91" w:type="dxa"/>
          <w:trHeight w:val="294"/>
        </w:trPr>
        <w:tc>
          <w:tcPr>
            <w:tcW w:w="1875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10C55" w:rsidRDefault="00E10C55">
            <w:pPr>
              <w:widowControl/>
              <w:spacing w:line="276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spacing w:line="276" w:lineRule="auto"/>
              <w:ind w:firstLineChars="100" w:firstLine="16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Before PS match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spacing w:line="276" w:lineRule="auto"/>
              <w:ind w:firstLineChars="100" w:firstLine="160"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After PS match</w:t>
            </w:r>
          </w:p>
        </w:tc>
        <w:tc>
          <w:tcPr>
            <w:tcW w:w="66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E10C55" w:rsidTr="00E10C55">
        <w:trPr>
          <w:trHeight w:val="287"/>
        </w:trPr>
        <w:tc>
          <w:tcPr>
            <w:tcW w:w="1875" w:type="dxa"/>
            <w:gridSpan w:val="3"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Statin(-)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Statin(+)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D72ED3" w:rsidP="00D72ED3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Statin(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D72ED3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Statin(+)</w:t>
            </w:r>
          </w:p>
        </w:tc>
        <w:tc>
          <w:tcPr>
            <w:tcW w:w="753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E10C55" w:rsidTr="00E10C55">
        <w:trPr>
          <w:gridAfter w:val="1"/>
          <w:wAfter w:w="91" w:type="dxa"/>
          <w:trHeight w:val="307"/>
        </w:trPr>
        <w:tc>
          <w:tcPr>
            <w:tcW w:w="187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(n: 744) 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 457)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 370)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 370)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655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16"/>
                <w:szCs w:val="16"/>
              </w:rPr>
              <w:t>Laboratory values</w:t>
            </w:r>
          </w:p>
        </w:tc>
        <w:tc>
          <w:tcPr>
            <w:tcW w:w="144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92" w:type="dxa"/>
            <w:noWrap/>
            <w:vAlign w:val="bottom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62" w:type="dxa"/>
            <w:noWrap/>
            <w:vAlign w:val="bottom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WBC, X10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8.0(6.2,10.5)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7.9(5.8,9.9)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6.5(5.4,8.0)</w:t>
            </w:r>
          </w:p>
        </w:tc>
        <w:tc>
          <w:tcPr>
            <w:tcW w:w="1225" w:type="dxa"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6.7(5.5,7.9)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Neutrophil, X10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5.5(4.1,7.7)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5.3(3.8,7.8)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4.3(3.4,5.5)</w:t>
            </w:r>
          </w:p>
        </w:tc>
        <w:tc>
          <w:tcPr>
            <w:tcW w:w="1225" w:type="dxa"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4.4(3.5,5.4)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Monocyte, X10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0.34(0.21,0.54)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0.32(0.20,0.40)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0.24(0.15,0.36)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0.27(0.16,0.39)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Hemoglobin, g/L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132.8</w:t>
            </w: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19.9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132.3</w:t>
            </w: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16.8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131.9±14.1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133.1±15.0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Hs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-CRP, mg/L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7.3(2.1,17.4)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5.3(1.7,10.8)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1.9(0.8,5.2)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1.5(0.6,4.0</w:t>
            </w:r>
            <w:r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&lt;0.05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FBG,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mmol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7.6(6.4,10.3)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7.1(5.1,8.9)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&lt;0.05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6.6(5.7,7.9)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6.5(5.5,8.1)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RBG at admission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11.5(9.1,14.6)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10.4(7.7,11.9)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9.4(7.1,12.1)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9.2(6.8,11.8)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Glycated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hemoglobin,%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7.8</w:t>
            </w: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7.4</w:t>
            </w: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7.4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1.4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7.4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1.6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ALT,U/L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21.5(14.0,35.0)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19.0(14.0,31.0)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18.0(13.0,28.0)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17.0(13.0,25.0)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Creatinine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umol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81.1(69.3,94.1)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77.5(66.7,92.0)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78.8(67.8,90.0)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77.0(65.6,91.3)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eGFR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, ml/min/1.73m²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78.9(63.7,93.3)</w:t>
            </w:r>
          </w:p>
        </w:tc>
        <w:tc>
          <w:tcPr>
            <w:tcW w:w="1250" w:type="dxa"/>
            <w:noWrap/>
            <w:vAlign w:val="center"/>
            <w:hideMark/>
          </w:tcPr>
          <w:p w:rsidR="00E10C55" w:rsidRDefault="00E10C55">
            <w:pPr>
              <w:widowControl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80.9(64.2,102)</w:t>
            </w:r>
          </w:p>
        </w:tc>
        <w:tc>
          <w:tcPr>
            <w:tcW w:w="1007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ind w:firstLineChars="150" w:firstLine="240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18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81 (67,95)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82(68,95)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TC,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mmol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4.4(3.8,5.1)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4.2(3.4,4.6)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4.05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1.00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4.04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±</w:t>
            </w: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0.96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TG,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mmol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1.6(1.1,2.4)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1.8(1.3,2.2)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1.5(1.1,2.1)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1.4(1.1,2.0)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LDL-C,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mmol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2.7(2.1,3.1)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2.4(1.8,2.7)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2.2(1.7,2.7)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2.2(1.7,2.6)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HDL-C,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mmol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1.0(0.8,1.2)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1.0(0.8,1.2)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1.0(0.9,1.2)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1.1(0.9,1.2)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716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NT-Pro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BNP,pg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/ml</w:t>
            </w:r>
          </w:p>
        </w:tc>
        <w:tc>
          <w:tcPr>
            <w:tcW w:w="1384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1648(486,4459)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1030(466,3348)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1846(442,6101) 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1584(518,4178)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Echocardiographic 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401" w:type="dxa"/>
            <w:gridSpan w:val="2"/>
            <w:noWrap/>
            <w:vAlign w:val="bottom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25" w:type="dxa"/>
            <w:noWrap/>
            <w:vAlign w:val="bottom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LVEDD, cm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5.18±0.55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5.16±0.37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5.03±0.50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5.02±0.44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LVESD, cm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3.53±0.63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3.43±0.47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&lt;0.05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3.18±0.52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3.17±0.43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LVEF, %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59.56±9.65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61.49±8.89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&lt;0.05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66.3±7.2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66.3±6.4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LVFS, %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32.38±6.81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34.29±7.68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&lt;0.05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37.2±6.0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37.1±5.0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LVEDV, ml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130.6±33.8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127.7±20.9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121.5±29.1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120.6±24.8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LVESV, ml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47.4(37.0,62.0)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44.5(36.7,65.9)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&lt;0.05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38.2(30.6,47.1)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37.9(32.2,46.6)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LA,cm</w:t>
            </w:r>
            <w:proofErr w:type="spellEnd"/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3.78±0.43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3.81±0.42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3.75±0.39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3.74±0.39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E/A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0.82(0.67,1.20)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0.84(0.71,1.13)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0.78(0.68,0.96)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0.78(0.67,0.99)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SV,ml</w:t>
            </w:r>
            <w:proofErr w:type="spellEnd"/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75.8(65.2,86.8)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79.7(66.8,87.8)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78.4(69.4,89.3)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79.2(68.1,88.8)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32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16"/>
                <w:szCs w:val="16"/>
              </w:rPr>
              <w:t>Angiography values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</w:tr>
      <w:tr w:rsidR="00E10C55" w:rsidTr="00E10C55">
        <w:trPr>
          <w:gridAfter w:val="1"/>
          <w:wAfter w:w="91" w:type="dxa"/>
          <w:trHeight w:val="30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Involved vessel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eastAsia="宋体"/>
              </w:rPr>
            </w:pPr>
          </w:p>
        </w:tc>
      </w:tr>
      <w:tr w:rsidR="00E10C55" w:rsidTr="00E10C55">
        <w:trPr>
          <w:gridAfter w:val="1"/>
          <w:wAfter w:w="91" w:type="dxa"/>
          <w:trHeight w:val="300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  Single vessel 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100(13.4)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58(12.7)</w:t>
            </w:r>
          </w:p>
        </w:tc>
        <w:tc>
          <w:tcPr>
            <w:tcW w:w="692" w:type="dxa"/>
            <w:vMerge w:val="restart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45(12.2)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50(13.5)</w:t>
            </w:r>
          </w:p>
        </w:tc>
        <w:tc>
          <w:tcPr>
            <w:tcW w:w="662" w:type="dxa"/>
            <w:vMerge w:val="restart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287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  Multi-vessel/LM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644(86.6)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399(87.3)</w:t>
            </w:r>
          </w:p>
        </w:tc>
        <w:tc>
          <w:tcPr>
            <w:tcW w:w="0" w:type="auto"/>
            <w:vMerge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325(87.8)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320(86.5)</w:t>
            </w:r>
          </w:p>
        </w:tc>
        <w:tc>
          <w:tcPr>
            <w:tcW w:w="0" w:type="auto"/>
            <w:vMerge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</w:p>
        </w:tc>
      </w:tr>
      <w:tr w:rsidR="00E10C55" w:rsidTr="00E10C55">
        <w:trPr>
          <w:gridAfter w:val="1"/>
          <w:wAfter w:w="91" w:type="dxa"/>
          <w:trHeight w:val="287"/>
        </w:trPr>
        <w:tc>
          <w:tcPr>
            <w:tcW w:w="1875" w:type="dxa"/>
            <w:gridSpan w:val="3"/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FF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Calibri" w:eastAsia="宋体" w:hAnsi="Calibri" w:cs="Calibri"/>
                <w:color w:val="000000" w:themeColor="text1"/>
                <w:kern w:val="0"/>
                <w:sz w:val="16"/>
                <w:szCs w:val="16"/>
              </w:rPr>
              <w:t>CTO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91(12.2)</w:t>
            </w:r>
          </w:p>
        </w:tc>
        <w:tc>
          <w:tcPr>
            <w:tcW w:w="1349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66(14.4)</w:t>
            </w:r>
          </w:p>
        </w:tc>
        <w:tc>
          <w:tcPr>
            <w:tcW w:w="69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1401" w:type="dxa"/>
            <w:gridSpan w:val="2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33 (8.9)</w:t>
            </w:r>
          </w:p>
        </w:tc>
        <w:tc>
          <w:tcPr>
            <w:tcW w:w="1225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49(13.2)</w:t>
            </w:r>
          </w:p>
        </w:tc>
        <w:tc>
          <w:tcPr>
            <w:tcW w:w="662" w:type="dxa"/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E10C55" w:rsidTr="00E10C55">
        <w:trPr>
          <w:gridAfter w:val="1"/>
          <w:wAfter w:w="91" w:type="dxa"/>
          <w:trHeight w:val="294"/>
        </w:trPr>
        <w:tc>
          <w:tcPr>
            <w:tcW w:w="187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 Proximal LAD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400(53.8)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226(49.5)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204(55.1)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182(49.2)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E10C55" w:rsidRDefault="00E10C55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NS</w:t>
            </w:r>
          </w:p>
        </w:tc>
      </w:tr>
    </w:tbl>
    <w:p w:rsidR="00E10C55" w:rsidRDefault="00E10C55" w:rsidP="00E10C55">
      <w:p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Data are presented as </w:t>
      </w:r>
      <w:proofErr w:type="spellStart"/>
      <w:r>
        <w:rPr>
          <w:rFonts w:ascii="Calibri" w:hAnsi="Calibri" w:cs="Calibri"/>
          <w:sz w:val="18"/>
          <w:szCs w:val="18"/>
        </w:rPr>
        <w:t>mean±</w:t>
      </w:r>
      <w:proofErr w:type="gramStart"/>
      <w:r>
        <w:rPr>
          <w:rFonts w:ascii="Calibri" w:hAnsi="Calibri" w:cs="Calibri"/>
          <w:sz w:val="18"/>
          <w:szCs w:val="18"/>
        </w:rPr>
        <w:t>SD</w:t>
      </w:r>
      <w:proofErr w:type="spellEnd"/>
      <w:r>
        <w:rPr>
          <w:rFonts w:ascii="Calibri" w:hAnsi="Calibri" w:cs="Calibri"/>
          <w:sz w:val="18"/>
          <w:szCs w:val="18"/>
        </w:rPr>
        <w:t xml:space="preserve"> ,</w:t>
      </w:r>
      <w:proofErr w:type="gramEnd"/>
      <w:r>
        <w:rPr>
          <w:rFonts w:ascii="Calibri" w:hAnsi="Calibri" w:cs="Calibri"/>
          <w:sz w:val="18"/>
          <w:szCs w:val="18"/>
        </w:rPr>
        <w:t xml:space="preserve"> IQR or n(%)</w:t>
      </w:r>
    </w:p>
    <w:p w:rsidR="00E10C55" w:rsidRDefault="00E10C55" w:rsidP="00E10C55">
      <w:pPr>
        <w:jc w:val="left"/>
        <w:rPr>
          <w:sz w:val="20"/>
          <w:szCs w:val="20"/>
        </w:rPr>
      </w:pPr>
      <w:r>
        <w:rPr>
          <w:rFonts w:ascii="Calibri" w:hAnsi="Calibri" w:cs="Calibri"/>
          <w:sz w:val="18"/>
          <w:szCs w:val="18"/>
        </w:rPr>
        <w:t xml:space="preserve">WBC: white blood cell count; </w:t>
      </w:r>
      <w:proofErr w:type="spellStart"/>
      <w:r>
        <w:rPr>
          <w:rFonts w:ascii="Calibri" w:hAnsi="Calibri" w:cs="Calibri"/>
          <w:sz w:val="18"/>
          <w:szCs w:val="18"/>
        </w:rPr>
        <w:t>Hs</w:t>
      </w:r>
      <w:proofErr w:type="spellEnd"/>
      <w:r>
        <w:rPr>
          <w:rFonts w:ascii="Calibri" w:hAnsi="Calibri" w:cs="Calibri"/>
          <w:sz w:val="18"/>
          <w:szCs w:val="18"/>
        </w:rPr>
        <w:t xml:space="preserve">-CRP: High sensitivity C reactive protein; FBG: Fasting blood glucose; RBG :Random blood glucose; ALT: </w:t>
      </w:r>
      <w:hyperlink r:id="rId9" w:history="1">
        <w:r w:rsidR="00B21EDC" w:rsidRPr="00B21EDC">
          <w:rPr>
            <w:rStyle w:val="a6"/>
            <w:rFonts w:ascii="Calibri" w:hAnsi="Calibri" w:cs="Calibri"/>
            <w:color w:val="auto"/>
            <w:kern w:val="0"/>
            <w:sz w:val="18"/>
            <w:szCs w:val="18"/>
            <w:u w:val="none"/>
          </w:rPr>
          <w:t>Alanine transaminase</w:t>
        </w:r>
      </w:hyperlink>
      <w:r w:rsidRPr="00B21EDC">
        <w:rPr>
          <w:rFonts w:ascii="Calibri" w:hAnsi="Calibri" w:cs="Calibri"/>
          <w:sz w:val="18"/>
          <w:szCs w:val="18"/>
        </w:rPr>
        <w:t>;</w:t>
      </w:r>
      <w:r>
        <w:rPr>
          <w:rFonts w:ascii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sz w:val="18"/>
          <w:szCs w:val="18"/>
        </w:rPr>
        <w:t>eGFR</w:t>
      </w:r>
      <w:proofErr w:type="spellEnd"/>
      <w:r>
        <w:rPr>
          <w:rFonts w:ascii="Calibri" w:hAnsi="Calibri" w:cs="Calibri"/>
          <w:sz w:val="18"/>
          <w:szCs w:val="18"/>
        </w:rPr>
        <w:t xml:space="preserve">: </w:t>
      </w:r>
      <w:bookmarkStart w:id="5" w:name="OLE_LINK1"/>
      <w:r>
        <w:rPr>
          <w:rFonts w:ascii="Calibri" w:hAnsi="Calibri" w:cs="Calibri"/>
          <w:sz w:val="18"/>
          <w:szCs w:val="18"/>
        </w:rPr>
        <w:t>estimated Glomerular filtration rate</w:t>
      </w:r>
      <w:bookmarkEnd w:id="5"/>
      <w:r>
        <w:rPr>
          <w:rFonts w:ascii="Calibri" w:hAnsi="Calibri" w:cs="Calibri"/>
          <w:sz w:val="18"/>
          <w:szCs w:val="18"/>
        </w:rPr>
        <w:t xml:space="preserve">; TC: Total cholesterol; TG: Triglycerides; LDL-C: Low-density lipoprotein cholesterol; HDL-C: High-density lipoprotein cholesterol; NT-Pro BNP: N-terminal pro-brain natriuretic peptide; LVEDD: Left ventricular end-diastolic diameter; LVESD: Left ventricular end-systolic diameter; LVEF: Left ventricular ejection </w:t>
      </w:r>
      <w:r>
        <w:rPr>
          <w:sz w:val="18"/>
          <w:szCs w:val="18"/>
        </w:rPr>
        <w:t xml:space="preserve">fraction; LVFS: Left ventricular </w:t>
      </w:r>
      <w:r>
        <w:rPr>
          <w:sz w:val="18"/>
          <w:szCs w:val="18"/>
        </w:rPr>
        <w:lastRenderedPageBreak/>
        <w:t>fraction shortening; LVEDV: Left ventricular end-diastolic volume; LVESV: Left ventricular end-systolic volume; LA: left atrium; E/A: ratio of</w:t>
      </w:r>
      <w:r>
        <w:rPr>
          <w:rFonts w:ascii="Calibri" w:eastAsia="宋体" w:hAnsi="Calibri" w:cs="Calibri"/>
          <w:color w:val="000000"/>
          <w:kern w:val="0"/>
          <w:sz w:val="18"/>
          <w:szCs w:val="18"/>
        </w:rPr>
        <w:t xml:space="preserve"> </w:t>
      </w:r>
      <w:r>
        <w:rPr>
          <w:sz w:val="18"/>
          <w:szCs w:val="18"/>
        </w:rPr>
        <w:t>early to late ventricular filling velocities; SV: Stroke volume; LM: Left main coronary artery; CTO: Chronic total occlusions</w:t>
      </w:r>
      <w:r w:rsidR="003703C7">
        <w:rPr>
          <w:sz w:val="18"/>
          <w:szCs w:val="18"/>
        </w:rPr>
        <w:t>; LAD: Left anterior descending</w:t>
      </w:r>
      <w:r w:rsidR="003703C7">
        <w:rPr>
          <w:rFonts w:hint="eastAsia"/>
          <w:sz w:val="18"/>
          <w:szCs w:val="18"/>
        </w:rPr>
        <w:t xml:space="preserve">; </w:t>
      </w:r>
      <w:r w:rsidR="003703C7">
        <w:rPr>
          <w:rFonts w:ascii="Calibri" w:hAnsi="Calibri" w:cs="Calibri" w:hint="eastAsia"/>
          <w:sz w:val="18"/>
          <w:szCs w:val="18"/>
        </w:rPr>
        <w:t>NS: Non-</w:t>
      </w:r>
      <w:r w:rsidR="003703C7" w:rsidRPr="003703C7">
        <w:rPr>
          <w:rFonts w:ascii="Calibri" w:hAnsi="Calibri" w:cs="Calibri"/>
          <w:sz w:val="18"/>
          <w:szCs w:val="18"/>
        </w:rPr>
        <w:t xml:space="preserve"> significant</w:t>
      </w:r>
      <w:r w:rsidR="003703C7">
        <w:rPr>
          <w:rFonts w:ascii="Calibri" w:hAnsi="Calibri" w:cs="Calibri" w:hint="eastAsia"/>
          <w:sz w:val="18"/>
          <w:szCs w:val="18"/>
        </w:rPr>
        <w:t>.</w:t>
      </w:r>
    </w:p>
    <w:p w:rsidR="00E10C55" w:rsidRDefault="00E10C55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F4596C" w:rsidRDefault="00F4596C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F4596C" w:rsidRDefault="00F4596C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F4596C" w:rsidRDefault="00F4596C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021855" w:rsidRDefault="00BD3112" w:rsidP="00021855">
      <w:pPr>
        <w:rPr>
          <w:rFonts w:ascii="Calibri" w:hAnsi="Calibri" w:cs="Calibri"/>
          <w:b/>
          <w:sz w:val="18"/>
          <w:szCs w:val="18"/>
        </w:rPr>
      </w:pPr>
      <w:r>
        <w:rPr>
          <w:rFonts w:ascii="Arial" w:eastAsia="宋体" w:hAnsi="Arial" w:cs="Arial"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72476B" wp14:editId="022AC17F">
                <wp:simplePos x="0" y="0"/>
                <wp:positionH relativeFrom="column">
                  <wp:posOffset>-294957</wp:posOffset>
                </wp:positionH>
                <wp:positionV relativeFrom="paragraph">
                  <wp:posOffset>713105</wp:posOffset>
                </wp:positionV>
                <wp:extent cx="433387" cy="1042987"/>
                <wp:effectExtent l="0" t="0" r="5080" b="50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433387" cy="10429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2DBC" w:rsidRPr="00BD3112" w:rsidRDefault="00492DB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D3112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Percentage(</w:t>
                            </w:r>
                            <w:proofErr w:type="gramEnd"/>
                            <w:r w:rsidRPr="00BD3112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%)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3.2pt;margin-top:56.15pt;width:34.1pt;height:82.1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" fillcolor="white [3201]" stroked="f" strokeweight=".5pt">
                <v:textbox style="layout-flow:vertical-ideographic">
                  <w:txbxContent>
                    <w:p w:rsidR="00701066" w:rsidRPr="00BD3112" w:rsidRDefault="00701066">
                      <w:pPr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BD3112">
                        <w:rPr>
                          <w:rFonts w:hint="eastAsia"/>
                          <w:sz w:val="24"/>
                          <w:szCs w:val="24"/>
                        </w:rPr>
                        <w:t>Percentage(</w:t>
                      </w:r>
                      <w:proofErr w:type="gramEnd"/>
                      <w:r w:rsidRPr="00BD3112">
                        <w:rPr>
                          <w:rFonts w:hint="eastAsia"/>
                          <w:sz w:val="24"/>
                          <w:szCs w:val="24"/>
                        </w:rPr>
                        <w:t>%)</w:t>
                      </w:r>
                    </w:p>
                  </w:txbxContent>
                </v:textbox>
              </v:shape>
            </w:pict>
          </mc:Fallback>
        </mc:AlternateContent>
      </w:r>
      <w:r w:rsidR="00021855">
        <w:rPr>
          <w:noProof/>
        </w:rPr>
        <w:drawing>
          <wp:inline distT="0" distB="0" distL="0" distR="0" wp14:anchorId="2647E9A2" wp14:editId="2FDAAED7">
            <wp:extent cx="4572000" cy="27432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21855" w:rsidRPr="00933974" w:rsidRDefault="00021855" w:rsidP="00021855">
      <w:pPr>
        <w:spacing w:line="360" w:lineRule="auto"/>
        <w:rPr>
          <w:rFonts w:ascii="Arial" w:hAnsi="Arial" w:cs="Arial"/>
          <w:sz w:val="18"/>
          <w:szCs w:val="18"/>
        </w:rPr>
      </w:pPr>
      <w:proofErr w:type="gramStart"/>
      <w:r w:rsidRPr="00933974">
        <w:rPr>
          <w:rFonts w:ascii="Arial" w:hAnsi="Arial" w:cs="Arial"/>
          <w:b/>
          <w:sz w:val="18"/>
          <w:szCs w:val="18"/>
        </w:rPr>
        <w:t xml:space="preserve">Figure </w:t>
      </w:r>
      <w:r w:rsidRPr="00933974">
        <w:rPr>
          <w:rFonts w:ascii="Arial" w:eastAsia="宋体" w:hAnsi="Arial" w:cs="Arial"/>
          <w:b/>
          <w:sz w:val="18"/>
          <w:szCs w:val="18"/>
        </w:rPr>
        <w:t>1</w:t>
      </w:r>
      <w:r w:rsidRPr="00933974">
        <w:rPr>
          <w:rFonts w:ascii="Arial" w:hAnsi="Arial" w:cs="Arial"/>
          <w:b/>
          <w:sz w:val="18"/>
          <w:szCs w:val="18"/>
        </w:rPr>
        <w:t>.</w:t>
      </w:r>
      <w:proofErr w:type="gramEnd"/>
      <w:r w:rsidRPr="0093397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33974">
        <w:rPr>
          <w:rFonts w:ascii="Arial" w:hAnsi="Arial" w:cs="Arial"/>
          <w:sz w:val="18"/>
          <w:szCs w:val="18"/>
        </w:rPr>
        <w:t>Percentages of patients with SAP, UAP and AMI in 2 groups.</w:t>
      </w:r>
      <w:proofErr w:type="gramEnd"/>
    </w:p>
    <w:p w:rsidR="00021855" w:rsidRPr="00933974" w:rsidRDefault="00021855" w:rsidP="00021855">
      <w:pPr>
        <w:spacing w:line="360" w:lineRule="auto"/>
        <w:rPr>
          <w:rFonts w:ascii="Arial" w:eastAsia="宋体" w:hAnsi="Arial" w:cs="Arial"/>
          <w:sz w:val="18"/>
          <w:szCs w:val="18"/>
        </w:rPr>
      </w:pPr>
      <w:r w:rsidRPr="00933974">
        <w:rPr>
          <w:rFonts w:ascii="Arial" w:hAnsi="Arial" w:cs="Arial"/>
          <w:sz w:val="18"/>
          <w:szCs w:val="18"/>
        </w:rPr>
        <w:t xml:space="preserve">SAP: Stable angina pectoris; UAP: Unstable angina pectoris; AMI: Acute myocardial infarction; </w:t>
      </w:r>
      <w:r w:rsidRPr="00933974">
        <w:rPr>
          <w:rFonts w:ascii="Arial" w:eastAsia="DengXian" w:hAnsi="Arial" w:cs="Arial"/>
          <w:sz w:val="18"/>
          <w:szCs w:val="18"/>
        </w:rPr>
        <w:t>*P</w:t>
      </w:r>
      <w:r w:rsidRPr="00933974">
        <w:rPr>
          <w:rFonts w:ascii="Arial" w:eastAsia="宋体" w:hAnsi="Arial" w:cs="Arial"/>
          <w:sz w:val="18"/>
          <w:szCs w:val="18"/>
        </w:rPr>
        <w:t xml:space="preserve">&lt;0.05 </w:t>
      </w:r>
      <w:r w:rsidRPr="00933974">
        <w:rPr>
          <w:rFonts w:ascii="Arial" w:eastAsia="DengXian" w:hAnsi="Arial" w:cs="Arial"/>
          <w:sz w:val="18"/>
          <w:szCs w:val="18"/>
        </w:rPr>
        <w:t xml:space="preserve">versus </w:t>
      </w:r>
      <w:r w:rsidRPr="00933974">
        <w:rPr>
          <w:rFonts w:ascii="Arial" w:hAnsi="Arial" w:cs="Arial"/>
          <w:sz w:val="18"/>
          <w:szCs w:val="18"/>
        </w:rPr>
        <w:t>Statin</w:t>
      </w:r>
      <w:r w:rsidRPr="00933974">
        <w:rPr>
          <w:rFonts w:ascii="Arial" w:eastAsia="DengXian" w:hAnsi="Arial" w:cs="Arial"/>
          <w:sz w:val="18"/>
          <w:szCs w:val="18"/>
        </w:rPr>
        <w:t xml:space="preserve"> (-) group.</w:t>
      </w:r>
    </w:p>
    <w:p w:rsidR="00F4596C" w:rsidRDefault="00F4596C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D26171">
      <w:pPr>
        <w:jc w:val="left"/>
        <w:rPr>
          <w:rFonts w:ascii="Calibri" w:hAnsi="Calibri" w:cs="Calibri"/>
          <w:szCs w:val="21"/>
        </w:rPr>
      </w:pPr>
      <w:proofErr w:type="gramStart"/>
      <w:r>
        <w:rPr>
          <w:rFonts w:ascii="Calibri" w:hAnsi="Calibri" w:cs="Calibri"/>
          <w:b/>
          <w:szCs w:val="21"/>
        </w:rPr>
        <w:lastRenderedPageBreak/>
        <w:t>Table 3.</w:t>
      </w:r>
      <w:proofErr w:type="gramEnd"/>
      <w:r>
        <w:rPr>
          <w:rFonts w:ascii="Calibri" w:hAnsi="Calibri" w:cs="Calibri"/>
          <w:szCs w:val="21"/>
        </w:rPr>
        <w:t xml:space="preserve"> </w:t>
      </w:r>
      <w:proofErr w:type="gramStart"/>
      <w:r>
        <w:rPr>
          <w:rFonts w:ascii="Calibri" w:hAnsi="Calibri" w:cs="Calibri"/>
          <w:szCs w:val="21"/>
        </w:rPr>
        <w:t>The estimated infarction size in patients with AMI.</w:t>
      </w:r>
      <w:proofErr w:type="gramEnd"/>
      <w:r>
        <w:rPr>
          <w:rFonts w:ascii="Calibri" w:hAnsi="Calibri" w:cs="Calibri"/>
          <w:szCs w:val="21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66"/>
        <w:gridCol w:w="1424"/>
        <w:gridCol w:w="1424"/>
        <w:gridCol w:w="731"/>
        <w:gridCol w:w="1423"/>
        <w:gridCol w:w="1423"/>
        <w:gridCol w:w="731"/>
      </w:tblGrid>
      <w:tr w:rsidR="00D26171" w:rsidTr="00D26171">
        <w:trPr>
          <w:trHeight w:val="294"/>
        </w:trPr>
        <w:tc>
          <w:tcPr>
            <w:tcW w:w="801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The peak value of  myocardial enzyme</w:t>
            </w:r>
          </w:p>
        </w:tc>
        <w:tc>
          <w:tcPr>
            <w:tcW w:w="8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Before PS match</w:t>
            </w:r>
          </w:p>
        </w:tc>
        <w:tc>
          <w:tcPr>
            <w:tcW w:w="8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8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After PS match</w:t>
            </w:r>
          </w:p>
        </w:tc>
        <w:tc>
          <w:tcPr>
            <w:tcW w:w="8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D26171" w:rsidTr="00D26171">
        <w:trPr>
          <w:trHeight w:val="287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5" w:type="pct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Statins(-)</w:t>
            </w:r>
          </w:p>
        </w:tc>
        <w:tc>
          <w:tcPr>
            <w:tcW w:w="835" w:type="pct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Statins(+)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5" w:type="pct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Statins(-)</w:t>
            </w:r>
          </w:p>
        </w:tc>
        <w:tc>
          <w:tcPr>
            <w:tcW w:w="835" w:type="pct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 Statins(+)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D26171" w:rsidTr="00D26171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 192)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 59)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 72)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(n: 50)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D26171" w:rsidTr="00D26171">
        <w:trPr>
          <w:trHeight w:val="320"/>
        </w:trPr>
        <w:tc>
          <w:tcPr>
            <w:tcW w:w="801" w:type="pct"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pMYO,ng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/ml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47.0(17.9,156.0)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45.8(14.0,128.0)</w:t>
            </w:r>
          </w:p>
        </w:tc>
        <w:tc>
          <w:tcPr>
            <w:tcW w:w="429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 xml:space="preserve">NS 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59.9(22.5,147.8)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40.5(12.8,126.5)</w:t>
            </w:r>
          </w:p>
        </w:tc>
        <w:tc>
          <w:tcPr>
            <w:tcW w:w="429" w:type="pct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320"/>
        </w:trPr>
        <w:tc>
          <w:tcPr>
            <w:tcW w:w="801" w:type="pct"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pCK-MB,ng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/ml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22.7(5.4,105.0)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13.4(3.4,73.2)</w:t>
            </w:r>
          </w:p>
        </w:tc>
        <w:tc>
          <w:tcPr>
            <w:tcW w:w="429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27.3(8.3,103.7)</w:t>
            </w:r>
          </w:p>
        </w:tc>
        <w:tc>
          <w:tcPr>
            <w:tcW w:w="835" w:type="pct"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13.8(3.3,73.2)</w:t>
            </w:r>
          </w:p>
        </w:tc>
        <w:tc>
          <w:tcPr>
            <w:tcW w:w="429" w:type="pct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320"/>
        </w:trPr>
        <w:tc>
          <w:tcPr>
            <w:tcW w:w="80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pTNI,ng</w:t>
            </w:r>
            <w:proofErr w:type="spellEnd"/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/ml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6.4(1.1,25.8)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2.7(0.7,16.8)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5.3(1.6,16.3)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kern w:val="0"/>
                <w:sz w:val="16"/>
                <w:szCs w:val="16"/>
              </w:rPr>
              <w:t>2.7(0.9,17.6)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宋体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</w:tbl>
    <w:p w:rsidR="00D26171" w:rsidRDefault="00D26171" w:rsidP="00D26171">
      <w:p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Data are presented as IQR</w:t>
      </w:r>
    </w:p>
    <w:p w:rsidR="00EB029C" w:rsidRDefault="00D26171" w:rsidP="00EB029C">
      <w:pPr>
        <w:jc w:val="left"/>
        <w:rPr>
          <w:sz w:val="20"/>
          <w:szCs w:val="20"/>
        </w:rPr>
      </w:pPr>
      <w:r>
        <w:rPr>
          <w:rFonts w:ascii="Calibri" w:hAnsi="Calibri" w:cs="Calibri"/>
          <w:sz w:val="18"/>
          <w:szCs w:val="18"/>
        </w:rPr>
        <w:t xml:space="preserve">AMI: Acute myocardial infarction; </w:t>
      </w:r>
      <w:proofErr w:type="spellStart"/>
      <w:r>
        <w:rPr>
          <w:rFonts w:ascii="Calibri" w:eastAsia="等线" w:hAnsi="Calibri" w:cs="Calibri"/>
          <w:color w:val="000000"/>
          <w:kern w:val="0"/>
          <w:sz w:val="18"/>
          <w:szCs w:val="18"/>
        </w:rPr>
        <w:t>pMYO</w:t>
      </w:r>
      <w:proofErr w:type="spellEnd"/>
      <w:r>
        <w:rPr>
          <w:rFonts w:ascii="Calibri" w:eastAsia="等线" w:hAnsi="Calibri" w:cs="Calibri"/>
          <w:color w:val="000000"/>
          <w:kern w:val="0"/>
          <w:sz w:val="18"/>
          <w:szCs w:val="18"/>
        </w:rPr>
        <w:t xml:space="preserve">: The peak value of myoglobin; </w:t>
      </w:r>
      <w:proofErr w:type="spellStart"/>
      <w:r>
        <w:rPr>
          <w:rFonts w:ascii="Calibri" w:eastAsia="等线" w:hAnsi="Calibri" w:cs="Calibri"/>
          <w:color w:val="000000"/>
          <w:kern w:val="0"/>
          <w:sz w:val="18"/>
          <w:szCs w:val="18"/>
        </w:rPr>
        <w:t>pCK</w:t>
      </w:r>
      <w:proofErr w:type="spellEnd"/>
      <w:r>
        <w:rPr>
          <w:rFonts w:ascii="Calibri" w:eastAsia="等线" w:hAnsi="Calibri" w:cs="Calibri"/>
          <w:color w:val="000000"/>
          <w:kern w:val="0"/>
          <w:sz w:val="18"/>
          <w:szCs w:val="18"/>
        </w:rPr>
        <w:t xml:space="preserve">-MB: The peak value of </w:t>
      </w:r>
      <w:proofErr w:type="spellStart"/>
      <w:r>
        <w:rPr>
          <w:rFonts w:ascii="Calibri" w:eastAsia="等线" w:hAnsi="Calibri" w:cs="Calibri"/>
          <w:color w:val="000000"/>
          <w:kern w:val="0"/>
          <w:sz w:val="18"/>
          <w:szCs w:val="18"/>
        </w:rPr>
        <w:t>Creatine</w:t>
      </w:r>
      <w:proofErr w:type="spellEnd"/>
      <w:r>
        <w:rPr>
          <w:rFonts w:ascii="Calibri" w:eastAsia="等线" w:hAnsi="Calibri" w:cs="Calibri"/>
          <w:color w:val="000000"/>
          <w:kern w:val="0"/>
          <w:sz w:val="18"/>
          <w:szCs w:val="18"/>
        </w:rPr>
        <w:t xml:space="preserve"> kinase MB; </w:t>
      </w:r>
      <w:proofErr w:type="spellStart"/>
      <w:r>
        <w:rPr>
          <w:rFonts w:ascii="Calibri" w:eastAsia="等线" w:hAnsi="Calibri" w:cs="Calibri"/>
          <w:color w:val="000000"/>
          <w:kern w:val="0"/>
          <w:sz w:val="18"/>
          <w:szCs w:val="18"/>
        </w:rPr>
        <w:t>pTN</w:t>
      </w:r>
      <w:r w:rsidR="00EB029C">
        <w:rPr>
          <w:rFonts w:ascii="Calibri" w:eastAsia="等线" w:hAnsi="Calibri" w:cs="Calibri"/>
          <w:color w:val="000000"/>
          <w:kern w:val="0"/>
          <w:sz w:val="18"/>
          <w:szCs w:val="18"/>
        </w:rPr>
        <w:t>I</w:t>
      </w:r>
      <w:proofErr w:type="spellEnd"/>
      <w:r w:rsidR="00EB029C">
        <w:rPr>
          <w:rFonts w:ascii="Calibri" w:eastAsia="等线" w:hAnsi="Calibri" w:cs="Calibri"/>
          <w:color w:val="000000"/>
          <w:kern w:val="0"/>
          <w:sz w:val="18"/>
          <w:szCs w:val="18"/>
        </w:rPr>
        <w:t>: The peak value of troponin I</w:t>
      </w:r>
      <w:r w:rsidR="00EB029C">
        <w:rPr>
          <w:rFonts w:ascii="Calibri" w:eastAsia="等线" w:hAnsi="Calibri" w:cs="Calibri" w:hint="eastAsia"/>
          <w:color w:val="000000"/>
          <w:kern w:val="0"/>
          <w:sz w:val="18"/>
          <w:szCs w:val="18"/>
        </w:rPr>
        <w:t xml:space="preserve">; </w:t>
      </w:r>
      <w:r w:rsidR="00EB029C">
        <w:rPr>
          <w:rFonts w:ascii="Calibri" w:hAnsi="Calibri" w:cs="Calibri" w:hint="eastAsia"/>
          <w:sz w:val="18"/>
          <w:szCs w:val="18"/>
        </w:rPr>
        <w:t>NS: Non-</w:t>
      </w:r>
      <w:r w:rsidR="00EB029C" w:rsidRPr="003703C7">
        <w:rPr>
          <w:rFonts w:ascii="Calibri" w:hAnsi="Calibri" w:cs="Calibri"/>
          <w:sz w:val="18"/>
          <w:szCs w:val="18"/>
        </w:rPr>
        <w:t xml:space="preserve"> significant</w:t>
      </w:r>
      <w:r w:rsidR="00EB029C">
        <w:rPr>
          <w:rFonts w:ascii="Calibri" w:hAnsi="Calibri" w:cs="Calibri" w:hint="eastAsia"/>
          <w:sz w:val="18"/>
          <w:szCs w:val="18"/>
        </w:rPr>
        <w:t>.</w:t>
      </w:r>
    </w:p>
    <w:p w:rsidR="00D26171" w:rsidRPr="00EB029C" w:rsidRDefault="00D26171" w:rsidP="00D26171">
      <w:pPr>
        <w:jc w:val="left"/>
        <w:rPr>
          <w:rFonts w:ascii="Calibri" w:hAnsi="Calibri" w:cs="Calibri"/>
          <w:sz w:val="18"/>
          <w:szCs w:val="18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p w:rsidR="00D26171" w:rsidRDefault="00D26171" w:rsidP="00D26171">
      <w:pPr>
        <w:jc w:val="left"/>
        <w:rPr>
          <w:rFonts w:ascii="Calibri" w:hAnsi="Calibri" w:cs="Calibri"/>
          <w:bCs/>
          <w:szCs w:val="21"/>
        </w:rPr>
      </w:pPr>
      <w:proofErr w:type="gramStart"/>
      <w:r>
        <w:rPr>
          <w:rFonts w:ascii="Calibri" w:hAnsi="Calibri" w:cs="Calibri"/>
          <w:b/>
          <w:szCs w:val="21"/>
        </w:rPr>
        <w:t>Table 4.</w:t>
      </w:r>
      <w:proofErr w:type="gramEnd"/>
      <w:r>
        <w:rPr>
          <w:rFonts w:ascii="Calibri" w:hAnsi="Calibri" w:cs="Calibri"/>
          <w:b/>
          <w:szCs w:val="21"/>
        </w:rPr>
        <w:t xml:space="preserve"> </w:t>
      </w:r>
      <w:bookmarkStart w:id="6" w:name="OLE_LINK2"/>
      <w:proofErr w:type="gramStart"/>
      <w:r>
        <w:rPr>
          <w:rFonts w:ascii="Calibri" w:hAnsi="Calibri" w:cs="Calibri"/>
          <w:szCs w:val="21"/>
        </w:rPr>
        <w:t>Clinical events during long-term follow-up.</w:t>
      </w:r>
      <w:bookmarkEnd w:id="6"/>
      <w:proofErr w:type="gramEnd"/>
      <w:r>
        <w:rPr>
          <w:rFonts w:ascii="Calibri" w:hAnsi="Calibri" w:cs="Calibri"/>
          <w:szCs w:val="21"/>
        </w:rPr>
        <w:t xml:space="preserve"> </w:t>
      </w:r>
    </w:p>
    <w:tbl>
      <w:tblPr>
        <w:tblW w:w="6879" w:type="dxa"/>
        <w:tblInd w:w="93" w:type="dxa"/>
        <w:tblLook w:val="04A0" w:firstRow="1" w:lastRow="0" w:firstColumn="1" w:lastColumn="0" w:noHBand="0" w:noVBand="1"/>
      </w:tblPr>
      <w:tblGrid>
        <w:gridCol w:w="1883"/>
        <w:gridCol w:w="81"/>
        <w:gridCol w:w="1337"/>
        <w:gridCol w:w="1386"/>
        <w:gridCol w:w="125"/>
        <w:gridCol w:w="1159"/>
        <w:gridCol w:w="908"/>
      </w:tblGrid>
      <w:tr w:rsidR="00D26171" w:rsidTr="00D26171">
        <w:trPr>
          <w:trHeight w:val="277"/>
        </w:trPr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ind w:firstLineChars="200" w:firstLine="320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Statins(-)</w:t>
            </w: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ind w:firstLineChars="50" w:firstLine="80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 xml:space="preserve">   Statins (+)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HR(95%CI)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  <w:t>Overall population</w:t>
            </w:r>
          </w:p>
        </w:tc>
        <w:tc>
          <w:tcPr>
            <w:tcW w:w="1337" w:type="dxa"/>
            <w:noWrap/>
            <w:vAlign w:val="center"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86" w:type="dxa"/>
            <w:noWrap/>
            <w:vAlign w:val="center"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4" w:type="dxa"/>
            <w:gridSpan w:val="2"/>
            <w:noWrap/>
            <w:vAlign w:val="center"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8" w:type="dxa"/>
            <w:noWrap/>
            <w:vAlign w:val="center"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457</w:t>
            </w:r>
          </w:p>
        </w:tc>
        <w:tc>
          <w:tcPr>
            <w:tcW w:w="1284" w:type="dxa"/>
            <w:gridSpan w:val="2"/>
            <w:noWrap/>
            <w:vAlign w:val="center"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8" w:type="dxa"/>
            <w:noWrap/>
            <w:vAlign w:val="center"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Composite MACCE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182(24.5)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95(20.8)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1.12(0.88,1.44)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All cause death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39(5.2)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18(3.9)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1.26(0.72,2.20)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CV death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2.7(3.6)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10(2.2)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1.61(0.78,3.33)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Non-fatal MI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25(3.4)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12(2.6)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1.24(0.62,2.47)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Non-fatal stroke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23(3.1)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6(1.3)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2.25(0.92,5.54)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Revascularization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67(9.0)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25(5.5)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1.59(1.01,2.51)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&lt;0.05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 xml:space="preserve">Cardiac </w:t>
            </w:r>
            <w:proofErr w:type="spellStart"/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rehospitalization</w:t>
            </w:r>
            <w:proofErr w:type="spellEnd"/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149(20.0)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84(18.4)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1.03(0.78,1.34)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96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16"/>
                <w:szCs w:val="16"/>
              </w:rPr>
              <w:t>Matched population</w:t>
            </w:r>
          </w:p>
        </w:tc>
        <w:tc>
          <w:tcPr>
            <w:tcW w:w="1337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eastAsia="宋体"/>
              </w:rPr>
            </w:pPr>
          </w:p>
        </w:tc>
      </w:tr>
      <w:tr w:rsidR="00D26171" w:rsidTr="00D26171">
        <w:trPr>
          <w:trHeight w:val="277"/>
        </w:trPr>
        <w:tc>
          <w:tcPr>
            <w:tcW w:w="1883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eastAsia="宋体"/>
              </w:rPr>
            </w:pPr>
          </w:p>
        </w:tc>
      </w:tr>
      <w:tr w:rsidR="00D26171" w:rsidTr="00D26171">
        <w:trPr>
          <w:trHeight w:val="277"/>
        </w:trPr>
        <w:tc>
          <w:tcPr>
            <w:tcW w:w="1883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Composite MACCE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95(25.7)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78(21.1)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0.96(0.71,1.29)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883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All cause death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18(4.9)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12(3.2)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1.18(0.57,2.45)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883" w:type="dxa"/>
            <w:noWrap/>
            <w:vAlign w:val="center"/>
            <w:hideMark/>
          </w:tcPr>
          <w:p w:rsidR="00D26171" w:rsidRDefault="00D26171">
            <w:pPr>
              <w:widowControl/>
              <w:ind w:firstLineChars="100" w:firstLine="160"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CV death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13(3.5)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8(2.2)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1.35(0.56,3.26)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883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Non-fatal MI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7(1.9)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11(3.0)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0.55(0.21,1.43)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883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Non-fatal stroke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11(3.0)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5(1.4)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1.71(0.59,4.96)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883" w:type="dxa"/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Revascularization</w:t>
            </w:r>
          </w:p>
        </w:tc>
        <w:tc>
          <w:tcPr>
            <w:tcW w:w="1418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31(8.4)</w:t>
            </w:r>
          </w:p>
        </w:tc>
        <w:tc>
          <w:tcPr>
            <w:tcW w:w="1386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17(4.6)</w:t>
            </w:r>
          </w:p>
        </w:tc>
        <w:tc>
          <w:tcPr>
            <w:tcW w:w="1284" w:type="dxa"/>
            <w:gridSpan w:val="2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1.49(0.82,2.70)</w:t>
            </w:r>
          </w:p>
        </w:tc>
        <w:tc>
          <w:tcPr>
            <w:tcW w:w="908" w:type="dxa"/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NS</w:t>
            </w:r>
          </w:p>
        </w:tc>
      </w:tr>
      <w:tr w:rsidR="00D26171" w:rsidTr="00D26171">
        <w:trPr>
          <w:trHeight w:val="277"/>
        </w:trPr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 xml:space="preserve">Cardiac </w:t>
            </w:r>
            <w:proofErr w:type="spellStart"/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rehospitalization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78(21.1)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 w:rsidP="00B227D3">
            <w:pPr>
              <w:widowControl/>
              <w:ind w:firstLineChars="150" w:firstLine="240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 xml:space="preserve"> 69(18.6)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0.88(0.64,1.22)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6171" w:rsidRDefault="00D261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NS</w:t>
            </w:r>
          </w:p>
        </w:tc>
      </w:tr>
    </w:tbl>
    <w:p w:rsidR="00D26171" w:rsidRDefault="00D26171" w:rsidP="00D26171">
      <w:pPr>
        <w:widowControl/>
        <w:spacing w:line="276" w:lineRule="auto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MACCE: Major adverse cardiac and cerebral event; CV: Cardiovascular; MI: Myocardial infarction; </w:t>
      </w:r>
    </w:p>
    <w:p w:rsidR="00EB029C" w:rsidRDefault="00D26171" w:rsidP="00EB029C">
      <w:pPr>
        <w:jc w:val="left"/>
        <w:rPr>
          <w:sz w:val="20"/>
          <w:szCs w:val="20"/>
        </w:rPr>
      </w:pPr>
      <w:r>
        <w:rPr>
          <w:rFonts w:ascii="Calibri" w:hAnsi="Calibri" w:cs="Calibri"/>
          <w:sz w:val="18"/>
          <w:szCs w:val="18"/>
        </w:rPr>
        <w:t>HR: Hazar</w:t>
      </w:r>
      <w:r w:rsidR="00EB029C">
        <w:rPr>
          <w:rFonts w:ascii="Calibri" w:hAnsi="Calibri" w:cs="Calibri"/>
          <w:sz w:val="18"/>
          <w:szCs w:val="18"/>
        </w:rPr>
        <w:t>d ratio; CI: Conﬁdence interval</w:t>
      </w:r>
      <w:r w:rsidR="00EB029C">
        <w:rPr>
          <w:rFonts w:ascii="Calibri" w:hAnsi="Calibri" w:cs="Calibri" w:hint="eastAsia"/>
          <w:sz w:val="18"/>
          <w:szCs w:val="18"/>
        </w:rPr>
        <w:t>; NS: Non-</w:t>
      </w:r>
      <w:r w:rsidR="00EB029C" w:rsidRPr="003703C7">
        <w:rPr>
          <w:rFonts w:ascii="Calibri" w:hAnsi="Calibri" w:cs="Calibri"/>
          <w:sz w:val="18"/>
          <w:szCs w:val="18"/>
        </w:rPr>
        <w:t xml:space="preserve"> significant</w:t>
      </w:r>
      <w:r w:rsidR="00EB029C">
        <w:rPr>
          <w:rFonts w:ascii="Calibri" w:hAnsi="Calibri" w:cs="Calibri" w:hint="eastAsia"/>
          <w:sz w:val="18"/>
          <w:szCs w:val="18"/>
        </w:rPr>
        <w:t>.</w:t>
      </w:r>
    </w:p>
    <w:p w:rsidR="00D26171" w:rsidRDefault="00D26171" w:rsidP="00D26171">
      <w:pPr>
        <w:widowControl/>
        <w:spacing w:line="276" w:lineRule="auto"/>
        <w:jc w:val="left"/>
        <w:rPr>
          <w:rFonts w:ascii="Calibri" w:hAnsi="Calibri" w:cs="Calibri"/>
          <w:sz w:val="18"/>
          <w:szCs w:val="18"/>
        </w:rPr>
      </w:pPr>
    </w:p>
    <w:p w:rsidR="00D26171" w:rsidRPr="00D26171" w:rsidRDefault="00D26171" w:rsidP="003F21AF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Arial" w:eastAsia="宋体" w:hAnsi="Arial" w:cs="Arial"/>
          <w:color w:val="000000" w:themeColor="text1"/>
        </w:rPr>
      </w:pPr>
    </w:p>
    <w:sectPr w:rsidR="00D26171" w:rsidRPr="00D261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7EC" w:rsidRDefault="007547EC" w:rsidP="00583F6A">
      <w:r>
        <w:separator/>
      </w:r>
    </w:p>
  </w:endnote>
  <w:endnote w:type="continuationSeparator" w:id="0">
    <w:p w:rsidR="007547EC" w:rsidRDefault="007547EC" w:rsidP="00583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7EC" w:rsidRDefault="007547EC" w:rsidP="00583F6A">
      <w:r>
        <w:separator/>
      </w:r>
    </w:p>
  </w:footnote>
  <w:footnote w:type="continuationSeparator" w:id="0">
    <w:p w:rsidR="007547EC" w:rsidRDefault="007547EC" w:rsidP="00583F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55F01"/>
    <w:multiLevelType w:val="multilevel"/>
    <w:tmpl w:val="0646F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B71B5E"/>
    <w:multiLevelType w:val="multilevel"/>
    <w:tmpl w:val="3926D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56476E"/>
    <w:multiLevelType w:val="multilevel"/>
    <w:tmpl w:val="350ED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CE7A98"/>
    <w:multiLevelType w:val="multilevel"/>
    <w:tmpl w:val="EE086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6E43F2"/>
    <w:multiLevelType w:val="multilevel"/>
    <w:tmpl w:val="DB000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4962D8"/>
    <w:multiLevelType w:val="multilevel"/>
    <w:tmpl w:val="9F228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31719C"/>
    <w:multiLevelType w:val="multilevel"/>
    <w:tmpl w:val="82B6E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D9C"/>
    <w:rsid w:val="00007184"/>
    <w:rsid w:val="00011EDC"/>
    <w:rsid w:val="00017464"/>
    <w:rsid w:val="00017BE1"/>
    <w:rsid w:val="00020138"/>
    <w:rsid w:val="00021855"/>
    <w:rsid w:val="000229C0"/>
    <w:rsid w:val="00023AE6"/>
    <w:rsid w:val="0002598F"/>
    <w:rsid w:val="00025E86"/>
    <w:rsid w:val="00033448"/>
    <w:rsid w:val="00035FA7"/>
    <w:rsid w:val="00040E28"/>
    <w:rsid w:val="000432D4"/>
    <w:rsid w:val="000610ED"/>
    <w:rsid w:val="00061993"/>
    <w:rsid w:val="00061ED6"/>
    <w:rsid w:val="00061F23"/>
    <w:rsid w:val="00066B81"/>
    <w:rsid w:val="00070CA0"/>
    <w:rsid w:val="000736B4"/>
    <w:rsid w:val="0007500E"/>
    <w:rsid w:val="00075162"/>
    <w:rsid w:val="00082DF5"/>
    <w:rsid w:val="000868D1"/>
    <w:rsid w:val="00086C04"/>
    <w:rsid w:val="00093A02"/>
    <w:rsid w:val="00097F8C"/>
    <w:rsid w:val="000A2759"/>
    <w:rsid w:val="000B13BF"/>
    <w:rsid w:val="000C2810"/>
    <w:rsid w:val="000C2B2D"/>
    <w:rsid w:val="000D0A3D"/>
    <w:rsid w:val="000D2CFE"/>
    <w:rsid w:val="000D5945"/>
    <w:rsid w:val="000D6B14"/>
    <w:rsid w:val="000D76ED"/>
    <w:rsid w:val="000E08A3"/>
    <w:rsid w:val="000E08C8"/>
    <w:rsid w:val="000E1570"/>
    <w:rsid w:val="000E1C42"/>
    <w:rsid w:val="000E5D01"/>
    <w:rsid w:val="000F0A0C"/>
    <w:rsid w:val="00103A6C"/>
    <w:rsid w:val="00103E91"/>
    <w:rsid w:val="00104DD9"/>
    <w:rsid w:val="00107B5A"/>
    <w:rsid w:val="00123874"/>
    <w:rsid w:val="00131266"/>
    <w:rsid w:val="001348AB"/>
    <w:rsid w:val="00141495"/>
    <w:rsid w:val="00145EFE"/>
    <w:rsid w:val="00153944"/>
    <w:rsid w:val="001662BE"/>
    <w:rsid w:val="00171FAF"/>
    <w:rsid w:val="001753C0"/>
    <w:rsid w:val="00176A5E"/>
    <w:rsid w:val="00177965"/>
    <w:rsid w:val="00184A3D"/>
    <w:rsid w:val="00185CA7"/>
    <w:rsid w:val="00192121"/>
    <w:rsid w:val="0019562E"/>
    <w:rsid w:val="001A3CBA"/>
    <w:rsid w:val="001A3F1D"/>
    <w:rsid w:val="001A47CC"/>
    <w:rsid w:val="001B3610"/>
    <w:rsid w:val="001C4643"/>
    <w:rsid w:val="001C633C"/>
    <w:rsid w:val="001C7B0D"/>
    <w:rsid w:val="001D065C"/>
    <w:rsid w:val="001D0995"/>
    <w:rsid w:val="001D11DA"/>
    <w:rsid w:val="001D6277"/>
    <w:rsid w:val="001D6FD7"/>
    <w:rsid w:val="001E2477"/>
    <w:rsid w:val="001E4936"/>
    <w:rsid w:val="001F0560"/>
    <w:rsid w:val="001F28A9"/>
    <w:rsid w:val="00201CE8"/>
    <w:rsid w:val="00201EF1"/>
    <w:rsid w:val="00204349"/>
    <w:rsid w:val="00210AC7"/>
    <w:rsid w:val="00211B94"/>
    <w:rsid w:val="002170FD"/>
    <w:rsid w:val="002267F1"/>
    <w:rsid w:val="00227185"/>
    <w:rsid w:val="002354E6"/>
    <w:rsid w:val="00236F7F"/>
    <w:rsid w:val="002404CD"/>
    <w:rsid w:val="00242884"/>
    <w:rsid w:val="00252E88"/>
    <w:rsid w:val="00254C19"/>
    <w:rsid w:val="00262798"/>
    <w:rsid w:val="002630D5"/>
    <w:rsid w:val="00264187"/>
    <w:rsid w:val="00267AAA"/>
    <w:rsid w:val="002741BD"/>
    <w:rsid w:val="00274D49"/>
    <w:rsid w:val="0027794C"/>
    <w:rsid w:val="00277D28"/>
    <w:rsid w:val="002903AA"/>
    <w:rsid w:val="00293D41"/>
    <w:rsid w:val="00297A5E"/>
    <w:rsid w:val="002A05DE"/>
    <w:rsid w:val="002A1298"/>
    <w:rsid w:val="002A3CED"/>
    <w:rsid w:val="002B6308"/>
    <w:rsid w:val="002D674E"/>
    <w:rsid w:val="002D717D"/>
    <w:rsid w:val="002D7643"/>
    <w:rsid w:val="002E5557"/>
    <w:rsid w:val="002F3EAD"/>
    <w:rsid w:val="002F4BB7"/>
    <w:rsid w:val="002F6882"/>
    <w:rsid w:val="0030778A"/>
    <w:rsid w:val="00312F71"/>
    <w:rsid w:val="003165A3"/>
    <w:rsid w:val="003204A2"/>
    <w:rsid w:val="00321BDD"/>
    <w:rsid w:val="0033093F"/>
    <w:rsid w:val="00331EC1"/>
    <w:rsid w:val="00334BF0"/>
    <w:rsid w:val="00341F7E"/>
    <w:rsid w:val="003440FF"/>
    <w:rsid w:val="00355630"/>
    <w:rsid w:val="0036313E"/>
    <w:rsid w:val="003651DE"/>
    <w:rsid w:val="00365D39"/>
    <w:rsid w:val="003700BB"/>
    <w:rsid w:val="003703C7"/>
    <w:rsid w:val="003744F3"/>
    <w:rsid w:val="0037566E"/>
    <w:rsid w:val="00376D30"/>
    <w:rsid w:val="00393461"/>
    <w:rsid w:val="003A1892"/>
    <w:rsid w:val="003A1EAA"/>
    <w:rsid w:val="003B0F5C"/>
    <w:rsid w:val="003B4DA2"/>
    <w:rsid w:val="003B70C3"/>
    <w:rsid w:val="003C3B61"/>
    <w:rsid w:val="003C7E9A"/>
    <w:rsid w:val="003D38CC"/>
    <w:rsid w:val="003D3E0A"/>
    <w:rsid w:val="003E2C54"/>
    <w:rsid w:val="003E5238"/>
    <w:rsid w:val="003E5D44"/>
    <w:rsid w:val="003E60EF"/>
    <w:rsid w:val="003E75E5"/>
    <w:rsid w:val="003F21AF"/>
    <w:rsid w:val="003F5D3E"/>
    <w:rsid w:val="003F6F30"/>
    <w:rsid w:val="00404175"/>
    <w:rsid w:val="00412687"/>
    <w:rsid w:val="0041516E"/>
    <w:rsid w:val="00415DB4"/>
    <w:rsid w:val="00423869"/>
    <w:rsid w:val="0042417B"/>
    <w:rsid w:val="00434FB8"/>
    <w:rsid w:val="004424F0"/>
    <w:rsid w:val="00447558"/>
    <w:rsid w:val="00450307"/>
    <w:rsid w:val="0045033C"/>
    <w:rsid w:val="00452F42"/>
    <w:rsid w:val="00455C9A"/>
    <w:rsid w:val="00457EED"/>
    <w:rsid w:val="004732B0"/>
    <w:rsid w:val="00477190"/>
    <w:rsid w:val="00486EFA"/>
    <w:rsid w:val="004915AD"/>
    <w:rsid w:val="00492DBC"/>
    <w:rsid w:val="00494872"/>
    <w:rsid w:val="00497A01"/>
    <w:rsid w:val="004B1076"/>
    <w:rsid w:val="004B5A2C"/>
    <w:rsid w:val="004C410D"/>
    <w:rsid w:val="004D40D4"/>
    <w:rsid w:val="004D78CA"/>
    <w:rsid w:val="004D7CFA"/>
    <w:rsid w:val="004E0304"/>
    <w:rsid w:val="004E3874"/>
    <w:rsid w:val="004E6EBB"/>
    <w:rsid w:val="004E71A7"/>
    <w:rsid w:val="004F652B"/>
    <w:rsid w:val="0050371E"/>
    <w:rsid w:val="00510311"/>
    <w:rsid w:val="0052152F"/>
    <w:rsid w:val="00524ABF"/>
    <w:rsid w:val="005316E1"/>
    <w:rsid w:val="00533999"/>
    <w:rsid w:val="00540C7E"/>
    <w:rsid w:val="00544FC8"/>
    <w:rsid w:val="0055128B"/>
    <w:rsid w:val="00571F8C"/>
    <w:rsid w:val="00577291"/>
    <w:rsid w:val="00581FCE"/>
    <w:rsid w:val="00583F6A"/>
    <w:rsid w:val="00584E54"/>
    <w:rsid w:val="005865B5"/>
    <w:rsid w:val="00593C98"/>
    <w:rsid w:val="005950B9"/>
    <w:rsid w:val="005A66D9"/>
    <w:rsid w:val="005B15ED"/>
    <w:rsid w:val="005C1351"/>
    <w:rsid w:val="005D0E16"/>
    <w:rsid w:val="005D1E91"/>
    <w:rsid w:val="005D3773"/>
    <w:rsid w:val="005D3E2E"/>
    <w:rsid w:val="005F1109"/>
    <w:rsid w:val="005F2193"/>
    <w:rsid w:val="005F2E50"/>
    <w:rsid w:val="005F639E"/>
    <w:rsid w:val="006001AC"/>
    <w:rsid w:val="00610DAE"/>
    <w:rsid w:val="006111C8"/>
    <w:rsid w:val="0061279A"/>
    <w:rsid w:val="00613906"/>
    <w:rsid w:val="00615B2E"/>
    <w:rsid w:val="00621423"/>
    <w:rsid w:val="006229BA"/>
    <w:rsid w:val="00622A16"/>
    <w:rsid w:val="006233F2"/>
    <w:rsid w:val="0062745F"/>
    <w:rsid w:val="006321CC"/>
    <w:rsid w:val="006344C9"/>
    <w:rsid w:val="00637E9A"/>
    <w:rsid w:val="006423A1"/>
    <w:rsid w:val="00642566"/>
    <w:rsid w:val="00643C15"/>
    <w:rsid w:val="006442DE"/>
    <w:rsid w:val="00644542"/>
    <w:rsid w:val="00647002"/>
    <w:rsid w:val="006542C5"/>
    <w:rsid w:val="00656032"/>
    <w:rsid w:val="006573D6"/>
    <w:rsid w:val="00660C45"/>
    <w:rsid w:val="00663415"/>
    <w:rsid w:val="0066488A"/>
    <w:rsid w:val="0066566C"/>
    <w:rsid w:val="006713AF"/>
    <w:rsid w:val="006725DA"/>
    <w:rsid w:val="00681FD7"/>
    <w:rsid w:val="00686EC8"/>
    <w:rsid w:val="006915BA"/>
    <w:rsid w:val="00693E1F"/>
    <w:rsid w:val="006946A4"/>
    <w:rsid w:val="00696D33"/>
    <w:rsid w:val="006A26CC"/>
    <w:rsid w:val="006A3D8E"/>
    <w:rsid w:val="006A7557"/>
    <w:rsid w:val="006A7DF3"/>
    <w:rsid w:val="006B12F5"/>
    <w:rsid w:val="006B24E3"/>
    <w:rsid w:val="006B29FF"/>
    <w:rsid w:val="006C106F"/>
    <w:rsid w:val="006C1841"/>
    <w:rsid w:val="006D1E34"/>
    <w:rsid w:val="006D54B4"/>
    <w:rsid w:val="006E0A2E"/>
    <w:rsid w:val="006E6564"/>
    <w:rsid w:val="006F0654"/>
    <w:rsid w:val="006F3CA1"/>
    <w:rsid w:val="006F685E"/>
    <w:rsid w:val="00701066"/>
    <w:rsid w:val="00711162"/>
    <w:rsid w:val="00714A69"/>
    <w:rsid w:val="007202F0"/>
    <w:rsid w:val="00726FE3"/>
    <w:rsid w:val="0073061A"/>
    <w:rsid w:val="00733823"/>
    <w:rsid w:val="007505A2"/>
    <w:rsid w:val="00753CB8"/>
    <w:rsid w:val="007547EC"/>
    <w:rsid w:val="00761D43"/>
    <w:rsid w:val="00767AFB"/>
    <w:rsid w:val="0077153B"/>
    <w:rsid w:val="00771B8B"/>
    <w:rsid w:val="0077268A"/>
    <w:rsid w:val="00773A4D"/>
    <w:rsid w:val="0077627C"/>
    <w:rsid w:val="00782E8D"/>
    <w:rsid w:val="007903FF"/>
    <w:rsid w:val="00797FDB"/>
    <w:rsid w:val="007A2954"/>
    <w:rsid w:val="007A2D28"/>
    <w:rsid w:val="007B369C"/>
    <w:rsid w:val="007C38D3"/>
    <w:rsid w:val="007C429E"/>
    <w:rsid w:val="007C60D5"/>
    <w:rsid w:val="007D0DC3"/>
    <w:rsid w:val="007D1E9D"/>
    <w:rsid w:val="007D716A"/>
    <w:rsid w:val="007E55CC"/>
    <w:rsid w:val="007F059F"/>
    <w:rsid w:val="007F133D"/>
    <w:rsid w:val="00800ABD"/>
    <w:rsid w:val="008024F7"/>
    <w:rsid w:val="008033B6"/>
    <w:rsid w:val="00803FC0"/>
    <w:rsid w:val="0080709A"/>
    <w:rsid w:val="00810E25"/>
    <w:rsid w:val="00811AF6"/>
    <w:rsid w:val="0081530E"/>
    <w:rsid w:val="0081698C"/>
    <w:rsid w:val="0082316B"/>
    <w:rsid w:val="00826315"/>
    <w:rsid w:val="00827D96"/>
    <w:rsid w:val="00831482"/>
    <w:rsid w:val="00835319"/>
    <w:rsid w:val="00835886"/>
    <w:rsid w:val="00837323"/>
    <w:rsid w:val="008403ED"/>
    <w:rsid w:val="00843ECB"/>
    <w:rsid w:val="008511CC"/>
    <w:rsid w:val="00851EF0"/>
    <w:rsid w:val="00854BF8"/>
    <w:rsid w:val="00855AD1"/>
    <w:rsid w:val="00856958"/>
    <w:rsid w:val="00856FC3"/>
    <w:rsid w:val="0085742D"/>
    <w:rsid w:val="00870630"/>
    <w:rsid w:val="00871E58"/>
    <w:rsid w:val="008769C5"/>
    <w:rsid w:val="00880AEA"/>
    <w:rsid w:val="008859C8"/>
    <w:rsid w:val="00892469"/>
    <w:rsid w:val="00892499"/>
    <w:rsid w:val="0089391E"/>
    <w:rsid w:val="008961E1"/>
    <w:rsid w:val="00897819"/>
    <w:rsid w:val="008B19F8"/>
    <w:rsid w:val="008C51A5"/>
    <w:rsid w:val="008C6F7B"/>
    <w:rsid w:val="008D2167"/>
    <w:rsid w:val="008D41E8"/>
    <w:rsid w:val="008D4BD5"/>
    <w:rsid w:val="008D52D6"/>
    <w:rsid w:val="008E6C1D"/>
    <w:rsid w:val="008F56E8"/>
    <w:rsid w:val="008F7E8E"/>
    <w:rsid w:val="00901D92"/>
    <w:rsid w:val="00901FE6"/>
    <w:rsid w:val="00902527"/>
    <w:rsid w:val="009037EA"/>
    <w:rsid w:val="00905376"/>
    <w:rsid w:val="00914182"/>
    <w:rsid w:val="00917378"/>
    <w:rsid w:val="00917A57"/>
    <w:rsid w:val="00917FAB"/>
    <w:rsid w:val="00925B7C"/>
    <w:rsid w:val="00930C0A"/>
    <w:rsid w:val="00932BBD"/>
    <w:rsid w:val="00933108"/>
    <w:rsid w:val="00933974"/>
    <w:rsid w:val="00935208"/>
    <w:rsid w:val="00937D99"/>
    <w:rsid w:val="009438BC"/>
    <w:rsid w:val="00944389"/>
    <w:rsid w:val="00945CC2"/>
    <w:rsid w:val="00946804"/>
    <w:rsid w:val="009468AF"/>
    <w:rsid w:val="0095180B"/>
    <w:rsid w:val="00963981"/>
    <w:rsid w:val="00971F88"/>
    <w:rsid w:val="00977FC3"/>
    <w:rsid w:val="00981D5F"/>
    <w:rsid w:val="0098434B"/>
    <w:rsid w:val="009851C4"/>
    <w:rsid w:val="009878F2"/>
    <w:rsid w:val="0099244C"/>
    <w:rsid w:val="0099561A"/>
    <w:rsid w:val="009973E9"/>
    <w:rsid w:val="009A0539"/>
    <w:rsid w:val="009A6F13"/>
    <w:rsid w:val="009A799E"/>
    <w:rsid w:val="009B2893"/>
    <w:rsid w:val="009B2A0B"/>
    <w:rsid w:val="009B7CF6"/>
    <w:rsid w:val="009C40BC"/>
    <w:rsid w:val="009C7112"/>
    <w:rsid w:val="009D2467"/>
    <w:rsid w:val="009D4F3A"/>
    <w:rsid w:val="009E198C"/>
    <w:rsid w:val="009E7432"/>
    <w:rsid w:val="009E7990"/>
    <w:rsid w:val="009F28B2"/>
    <w:rsid w:val="009F4ED0"/>
    <w:rsid w:val="009F71A3"/>
    <w:rsid w:val="009F7E10"/>
    <w:rsid w:val="00A02360"/>
    <w:rsid w:val="00A066EE"/>
    <w:rsid w:val="00A21088"/>
    <w:rsid w:val="00A27F03"/>
    <w:rsid w:val="00A37D6C"/>
    <w:rsid w:val="00A41A92"/>
    <w:rsid w:val="00A5062F"/>
    <w:rsid w:val="00A60A7F"/>
    <w:rsid w:val="00A835D8"/>
    <w:rsid w:val="00A854D1"/>
    <w:rsid w:val="00A85FBE"/>
    <w:rsid w:val="00AA24CB"/>
    <w:rsid w:val="00AB055E"/>
    <w:rsid w:val="00AB0787"/>
    <w:rsid w:val="00AB41B9"/>
    <w:rsid w:val="00AB4ACC"/>
    <w:rsid w:val="00AC1044"/>
    <w:rsid w:val="00AC150B"/>
    <w:rsid w:val="00AC4233"/>
    <w:rsid w:val="00AD06C5"/>
    <w:rsid w:val="00AD4EF3"/>
    <w:rsid w:val="00AE6AF0"/>
    <w:rsid w:val="00AF0B81"/>
    <w:rsid w:val="00AF2390"/>
    <w:rsid w:val="00B14B88"/>
    <w:rsid w:val="00B14BCA"/>
    <w:rsid w:val="00B151E4"/>
    <w:rsid w:val="00B163A8"/>
    <w:rsid w:val="00B17B4F"/>
    <w:rsid w:val="00B217EC"/>
    <w:rsid w:val="00B21EDC"/>
    <w:rsid w:val="00B227D3"/>
    <w:rsid w:val="00B31793"/>
    <w:rsid w:val="00B42BD0"/>
    <w:rsid w:val="00B51C12"/>
    <w:rsid w:val="00B6277A"/>
    <w:rsid w:val="00B67D9C"/>
    <w:rsid w:val="00B72B03"/>
    <w:rsid w:val="00B746AB"/>
    <w:rsid w:val="00B75476"/>
    <w:rsid w:val="00B8048F"/>
    <w:rsid w:val="00B81B03"/>
    <w:rsid w:val="00B864EE"/>
    <w:rsid w:val="00B86BA7"/>
    <w:rsid w:val="00B90FF5"/>
    <w:rsid w:val="00B967F5"/>
    <w:rsid w:val="00BA1D66"/>
    <w:rsid w:val="00BA6C94"/>
    <w:rsid w:val="00BA71DF"/>
    <w:rsid w:val="00BB4872"/>
    <w:rsid w:val="00BD3112"/>
    <w:rsid w:val="00BD59A1"/>
    <w:rsid w:val="00BD6AD3"/>
    <w:rsid w:val="00BE58CD"/>
    <w:rsid w:val="00BF3D4B"/>
    <w:rsid w:val="00C03D3F"/>
    <w:rsid w:val="00C0779E"/>
    <w:rsid w:val="00C1012F"/>
    <w:rsid w:val="00C14A17"/>
    <w:rsid w:val="00C164FB"/>
    <w:rsid w:val="00C169AA"/>
    <w:rsid w:val="00C26804"/>
    <w:rsid w:val="00C3527E"/>
    <w:rsid w:val="00C46DC2"/>
    <w:rsid w:val="00C56509"/>
    <w:rsid w:val="00C601C3"/>
    <w:rsid w:val="00C64F55"/>
    <w:rsid w:val="00C67AC6"/>
    <w:rsid w:val="00C77B77"/>
    <w:rsid w:val="00C9078C"/>
    <w:rsid w:val="00C9172A"/>
    <w:rsid w:val="00C9280A"/>
    <w:rsid w:val="00C972C1"/>
    <w:rsid w:val="00C97893"/>
    <w:rsid w:val="00CA5D43"/>
    <w:rsid w:val="00CA721C"/>
    <w:rsid w:val="00CC0D3A"/>
    <w:rsid w:val="00CC4F75"/>
    <w:rsid w:val="00CD2128"/>
    <w:rsid w:val="00CD68D0"/>
    <w:rsid w:val="00CE0B21"/>
    <w:rsid w:val="00CE2B24"/>
    <w:rsid w:val="00CE52B8"/>
    <w:rsid w:val="00CF18F4"/>
    <w:rsid w:val="00CF733F"/>
    <w:rsid w:val="00CF7760"/>
    <w:rsid w:val="00D00D97"/>
    <w:rsid w:val="00D028E7"/>
    <w:rsid w:val="00D02B6F"/>
    <w:rsid w:val="00D043D5"/>
    <w:rsid w:val="00D1421A"/>
    <w:rsid w:val="00D15098"/>
    <w:rsid w:val="00D170DE"/>
    <w:rsid w:val="00D21DF2"/>
    <w:rsid w:val="00D23B38"/>
    <w:rsid w:val="00D26171"/>
    <w:rsid w:val="00D30663"/>
    <w:rsid w:val="00D40428"/>
    <w:rsid w:val="00D421E3"/>
    <w:rsid w:val="00D448D9"/>
    <w:rsid w:val="00D44B18"/>
    <w:rsid w:val="00D45B5B"/>
    <w:rsid w:val="00D61D8F"/>
    <w:rsid w:val="00D6299A"/>
    <w:rsid w:val="00D6584F"/>
    <w:rsid w:val="00D714EA"/>
    <w:rsid w:val="00D72ED3"/>
    <w:rsid w:val="00D835E2"/>
    <w:rsid w:val="00DA71B2"/>
    <w:rsid w:val="00DB0BF6"/>
    <w:rsid w:val="00DB1D79"/>
    <w:rsid w:val="00DC0FC2"/>
    <w:rsid w:val="00DC2F2F"/>
    <w:rsid w:val="00DC458D"/>
    <w:rsid w:val="00DC5DA1"/>
    <w:rsid w:val="00DC77DB"/>
    <w:rsid w:val="00DD3F9D"/>
    <w:rsid w:val="00DE4AE5"/>
    <w:rsid w:val="00DF5FB1"/>
    <w:rsid w:val="00E01B46"/>
    <w:rsid w:val="00E02662"/>
    <w:rsid w:val="00E10C55"/>
    <w:rsid w:val="00E139D0"/>
    <w:rsid w:val="00E216B4"/>
    <w:rsid w:val="00E22799"/>
    <w:rsid w:val="00E25516"/>
    <w:rsid w:val="00E33698"/>
    <w:rsid w:val="00E35CD2"/>
    <w:rsid w:val="00E43FD5"/>
    <w:rsid w:val="00E456D5"/>
    <w:rsid w:val="00E47462"/>
    <w:rsid w:val="00E47FFE"/>
    <w:rsid w:val="00E56F2B"/>
    <w:rsid w:val="00E57B06"/>
    <w:rsid w:val="00E613AA"/>
    <w:rsid w:val="00E62A0E"/>
    <w:rsid w:val="00E75495"/>
    <w:rsid w:val="00E7595D"/>
    <w:rsid w:val="00E82A55"/>
    <w:rsid w:val="00E908EB"/>
    <w:rsid w:val="00E91E8C"/>
    <w:rsid w:val="00E94B3F"/>
    <w:rsid w:val="00EA65B5"/>
    <w:rsid w:val="00EB029C"/>
    <w:rsid w:val="00EB0BDD"/>
    <w:rsid w:val="00EB1082"/>
    <w:rsid w:val="00EB1314"/>
    <w:rsid w:val="00EC4CA3"/>
    <w:rsid w:val="00ED2BDE"/>
    <w:rsid w:val="00ED2D39"/>
    <w:rsid w:val="00ED538C"/>
    <w:rsid w:val="00EE34AF"/>
    <w:rsid w:val="00EF129F"/>
    <w:rsid w:val="00EF52C4"/>
    <w:rsid w:val="00EF62DF"/>
    <w:rsid w:val="00F00C03"/>
    <w:rsid w:val="00F10846"/>
    <w:rsid w:val="00F143B7"/>
    <w:rsid w:val="00F1676C"/>
    <w:rsid w:val="00F22E16"/>
    <w:rsid w:val="00F23908"/>
    <w:rsid w:val="00F25C3F"/>
    <w:rsid w:val="00F2762E"/>
    <w:rsid w:val="00F31E83"/>
    <w:rsid w:val="00F4596C"/>
    <w:rsid w:val="00F525AD"/>
    <w:rsid w:val="00F60854"/>
    <w:rsid w:val="00F624B0"/>
    <w:rsid w:val="00F647C9"/>
    <w:rsid w:val="00F807A5"/>
    <w:rsid w:val="00F818E2"/>
    <w:rsid w:val="00F82570"/>
    <w:rsid w:val="00F9256C"/>
    <w:rsid w:val="00F9320B"/>
    <w:rsid w:val="00F93CD0"/>
    <w:rsid w:val="00F97FF7"/>
    <w:rsid w:val="00FB02BB"/>
    <w:rsid w:val="00FB5CBF"/>
    <w:rsid w:val="00FC3457"/>
    <w:rsid w:val="00FC5B81"/>
    <w:rsid w:val="00FD6EE2"/>
    <w:rsid w:val="00FD73B8"/>
    <w:rsid w:val="00FE1B13"/>
    <w:rsid w:val="00FF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F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F6A"/>
    <w:rPr>
      <w:sz w:val="18"/>
      <w:szCs w:val="18"/>
    </w:rPr>
  </w:style>
  <w:style w:type="character" w:customStyle="1" w:styleId="apple-converted-space">
    <w:name w:val="apple-converted-space"/>
    <w:basedOn w:val="a0"/>
    <w:rsid w:val="008D52D6"/>
  </w:style>
  <w:style w:type="paragraph" w:styleId="a5">
    <w:name w:val="List Paragraph"/>
    <w:basedOn w:val="a"/>
    <w:uiPriority w:val="34"/>
    <w:qFormat/>
    <w:rsid w:val="008D52D6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E10C55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218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18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F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F6A"/>
    <w:rPr>
      <w:sz w:val="18"/>
      <w:szCs w:val="18"/>
    </w:rPr>
  </w:style>
  <w:style w:type="character" w:customStyle="1" w:styleId="apple-converted-space">
    <w:name w:val="apple-converted-space"/>
    <w:basedOn w:val="a0"/>
    <w:rsid w:val="008D52D6"/>
  </w:style>
  <w:style w:type="paragraph" w:styleId="a5">
    <w:name w:val="List Paragraph"/>
    <w:basedOn w:val="a"/>
    <w:uiPriority w:val="34"/>
    <w:qFormat/>
    <w:rsid w:val="008D52D6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E10C55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218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18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hyperlink" Target="javascript:;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zhangyue\Desktop\&#26032;&#24314;%20Microsoft%20Excel%20&#24037;&#20316;&#34920;%20(2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Sheet1!$C$30</c:f>
              <c:strCache>
                <c:ptCount val="1"/>
                <c:pt idx="0">
                  <c:v>SAP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Sheet1!$D$29:$E$29</c:f>
              <c:strCache>
                <c:ptCount val="2"/>
                <c:pt idx="0">
                  <c:v>Statin(-)</c:v>
                </c:pt>
                <c:pt idx="1">
                  <c:v>Statin(+)</c:v>
                </c:pt>
              </c:strCache>
            </c:strRef>
          </c:cat>
          <c:val>
            <c:numRef>
              <c:f>Sheet1!$D$30:$E$30</c:f>
              <c:numCache>
                <c:formatCode>General</c:formatCode>
                <c:ptCount val="2"/>
                <c:pt idx="0">
                  <c:v>1.9</c:v>
                </c:pt>
                <c:pt idx="1">
                  <c:v>3.5</c:v>
                </c:pt>
              </c:numCache>
            </c:numRef>
          </c:val>
        </c:ser>
        <c:ser>
          <c:idx val="1"/>
          <c:order val="1"/>
          <c:tx>
            <c:strRef>
              <c:f>Sheet1!$C$31</c:f>
              <c:strCache>
                <c:ptCount val="1"/>
                <c:pt idx="0">
                  <c:v>UAP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Sheet1!$D$29:$E$29</c:f>
              <c:strCache>
                <c:ptCount val="2"/>
                <c:pt idx="0">
                  <c:v>Statin(-)</c:v>
                </c:pt>
                <c:pt idx="1">
                  <c:v>Statin(+)</c:v>
                </c:pt>
              </c:strCache>
            </c:strRef>
          </c:cat>
          <c:val>
            <c:numRef>
              <c:f>Sheet1!$D$31:$E$31</c:f>
              <c:numCache>
                <c:formatCode>0.0_ </c:formatCode>
                <c:ptCount val="2"/>
                <c:pt idx="0" formatCode="General">
                  <c:v>78.599999999999994</c:v>
                </c:pt>
                <c:pt idx="1">
                  <c:v>83</c:v>
                </c:pt>
              </c:numCache>
            </c:numRef>
          </c:val>
        </c:ser>
        <c:ser>
          <c:idx val="2"/>
          <c:order val="2"/>
          <c:tx>
            <c:strRef>
              <c:f>Sheet1!$C$32</c:f>
              <c:strCache>
                <c:ptCount val="1"/>
                <c:pt idx="0">
                  <c:v>AMI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Sheet1!$D$29:$E$29</c:f>
              <c:strCache>
                <c:ptCount val="2"/>
                <c:pt idx="0">
                  <c:v>Statin(-)</c:v>
                </c:pt>
                <c:pt idx="1">
                  <c:v>Statin(+)</c:v>
                </c:pt>
              </c:strCache>
            </c:strRef>
          </c:cat>
          <c:val>
            <c:numRef>
              <c:f>Sheet1!$D$32:$E$32</c:f>
              <c:numCache>
                <c:formatCode>General</c:formatCode>
                <c:ptCount val="2"/>
                <c:pt idx="0">
                  <c:v>19.5</c:v>
                </c:pt>
                <c:pt idx="1">
                  <c:v>13.5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78521088"/>
        <c:axId val="378522624"/>
      </c:barChart>
      <c:catAx>
        <c:axId val="378521088"/>
        <c:scaling>
          <c:orientation val="minMax"/>
        </c:scaling>
        <c:delete val="0"/>
        <c:axPos val="b"/>
        <c:majorTickMark val="out"/>
        <c:minorTickMark val="none"/>
        <c:tickLblPos val="nextTo"/>
        <c:crossAx val="378522624"/>
        <c:crosses val="autoZero"/>
        <c:auto val="1"/>
        <c:lblAlgn val="ctr"/>
        <c:lblOffset val="100"/>
        <c:noMultiLvlLbl val="0"/>
      </c:catAx>
      <c:valAx>
        <c:axId val="378522624"/>
        <c:scaling>
          <c:orientation val="minMax"/>
          <c:max val="100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378521088"/>
        <c:crosses val="autoZero"/>
        <c:crossBetween val="between"/>
        <c:majorUnit val="20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0.40938</cdr:x>
      <cdr:y>0.05729</cdr:y>
    </cdr:from>
    <cdr:to>
      <cdr:x>0.54792</cdr:x>
      <cdr:y>0.15625</cdr:y>
    </cdr:to>
    <cdr:sp macro="" textlink="">
      <cdr:nvSpPr>
        <cdr:cNvPr id="2" name="文本框 1"/>
        <cdr:cNvSpPr txBox="1"/>
      </cdr:nvSpPr>
      <cdr:spPr>
        <a:xfrm xmlns:a="http://schemas.openxmlformats.org/drawingml/2006/main">
          <a:off x="1871663" y="157163"/>
          <a:ext cx="633412" cy="27146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/>
            <a:t>P&lt;0.05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0.71979</cdr:x>
      <cdr:y>0.63356</cdr:y>
    </cdr:from>
    <cdr:to>
      <cdr:x>0.75833</cdr:x>
      <cdr:y>0.69954</cdr:y>
    </cdr:to>
    <cdr:sp macro="" textlink="">
      <cdr:nvSpPr>
        <cdr:cNvPr id="3" name="文本框 2"/>
        <cdr:cNvSpPr txBox="1"/>
      </cdr:nvSpPr>
      <cdr:spPr>
        <a:xfrm xmlns:a="http://schemas.openxmlformats.org/drawingml/2006/main">
          <a:off x="3290888" y="1737995"/>
          <a:ext cx="176213" cy="1809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/>
            <a:t>*</a:t>
          </a:r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C0D57C-5A8A-4CB7-B690-F96ED1058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</TotalTime>
  <Pages>4</Pages>
  <Words>1081</Words>
  <Characters>6164</Characters>
  <Application>Microsoft Office Word</Application>
  <DocSecurity>0</DocSecurity>
  <Lines>51</Lines>
  <Paragraphs>14</Paragraphs>
  <ScaleCrop>false</ScaleCrop>
  <Company/>
  <LinksUpToDate>false</LinksUpToDate>
  <CharactersWithSpaces>7231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公绪合</dc:creator>
  <cp:keywords/>
  <dc:description/>
  <cp:lastModifiedBy>zhangyue</cp:lastModifiedBy>
  <cp:revision>1758</cp:revision>
  <dcterms:created xsi:type="dcterms:W3CDTF">2018-11-16T16:24:00Z</dcterms:created>
  <dcterms:modified xsi:type="dcterms:W3CDTF">2020-03-21T01:17:00Z</dcterms:modified>
</cp:coreProperties>
</file>